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438907197"/>
      <w:bookmarkStart w:id="1" w:name="_Toc438907297"/>
      <w:bookmarkStart w:id="2" w:name="_Toc471555884"/>
      <w:bookmarkStart w:id="3" w:name="_Toc73333192"/>
      <w:bookmarkStart w:id="4" w:name="_Toc35257384"/>
      <w:bookmarkStart w:id="5" w:name="_Toc503364215"/>
    </w:p>
    <w:p w14:paraId="304BF81E" w14:textId="476C1E3F" w:rsidR="006557C2" w:rsidRPr="00933B6C" w:rsidRDefault="006557C2" w:rsidP="006557C2">
      <w:pPr>
        <w:suppressAutoHyphens/>
        <w:spacing w:after="0" w:line="240" w:lineRule="auto"/>
        <w:jc w:val="center"/>
        <w:rPr>
          <w:rFonts w:ascii="Times New Roman Bold" w:eastAsia="Times New Roman" w:hAnsi="Times New Roman Bold" w:cs="Times New Roman"/>
          <w:i/>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supply of Goods and </w:t>
      </w:r>
      <w:r w:rsidRPr="00D24BF8">
        <w:rPr>
          <w:rFonts w:ascii="Times New Roman Bold" w:eastAsia="Times New Roman" w:hAnsi="Times New Roman Bold" w:cs="Times New Roman"/>
          <w:iCs/>
          <w:kern w:val="28"/>
          <w:sz w:val="40"/>
          <w:szCs w:val="40"/>
          <w:lang w:val="en-GB"/>
        </w:rPr>
        <w:t>Related Services</w:t>
      </w:r>
    </w:p>
    <w:p w14:paraId="46D68F80" w14:textId="381F789D" w:rsidR="003449D8" w:rsidRDefault="003449D8">
      <w:pPr>
        <w:rPr>
          <w:rFonts w:ascii="Times New Roman" w:eastAsia="Times New Roman" w:hAnsi="Times New Roman" w:cs="Times New Roman"/>
          <w:b/>
          <w:noProof/>
          <w:sz w:val="36"/>
          <w:szCs w:val="24"/>
        </w:rPr>
      </w:pPr>
    </w:p>
    <w:p w14:paraId="2A62F92D" w14:textId="77777777" w:rsidR="00204315" w:rsidRDefault="00204315">
      <w:pPr>
        <w:rPr>
          <w:rFonts w:ascii="Times New Roman" w:eastAsia="Times New Roman" w:hAnsi="Times New Roman" w:cs="Times New Roman"/>
          <w:b/>
          <w:noProof/>
          <w:sz w:val="36"/>
          <w:szCs w:val="24"/>
        </w:rPr>
      </w:pPr>
    </w:p>
    <w:p w14:paraId="4B88B37A" w14:textId="7BE5098C" w:rsidR="00204315" w:rsidRPr="00FE7B5B" w:rsidRDefault="00204315" w:rsidP="00204315">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D24BF8" w:rsidRPr="00D24BF8">
        <w:rPr>
          <w:rFonts w:ascii="Times New Roman" w:hAnsi="Times New Roman" w:cs="Times New Roman"/>
          <w:iCs/>
          <w:color w:val="000000" w:themeColor="text1"/>
          <w:sz w:val="28"/>
          <w:szCs w:val="28"/>
        </w:rPr>
        <w:t>COVID19/G/DC-03</w:t>
      </w:r>
    </w:p>
    <w:p w14:paraId="565A2350" w14:textId="161CDD9C" w:rsidR="00204315" w:rsidRPr="00D24BF8" w:rsidRDefault="00204315" w:rsidP="00204315">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D24BF8" w:rsidRPr="00D24BF8">
        <w:rPr>
          <w:rFonts w:ascii="Times New Roman" w:hAnsi="Times New Roman" w:cs="Times New Roman"/>
          <w:bCs/>
          <w:color w:val="000000" w:themeColor="text1"/>
          <w:sz w:val="28"/>
          <w:szCs w:val="28"/>
        </w:rPr>
        <w:t>Georgia Emergency COVID-19 Response Project (P173911)</w:t>
      </w:r>
    </w:p>
    <w:p w14:paraId="075BF5F4" w14:textId="77777777" w:rsidR="00D24BF8" w:rsidRDefault="00204315" w:rsidP="00D24BF8">
      <w:pPr>
        <w:spacing w:before="60" w:after="60"/>
        <w:rPr>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D24BF8">
        <w:rPr>
          <w:sz w:val="28"/>
          <w:szCs w:val="28"/>
        </w:rPr>
        <w:t xml:space="preserve">Ministry of Internally Displaced Persons, </w:t>
      </w:r>
      <w:proofErr w:type="spellStart"/>
      <w:r w:rsidR="00D24BF8">
        <w:rPr>
          <w:sz w:val="28"/>
          <w:szCs w:val="28"/>
        </w:rPr>
        <w:t>Labour</w:t>
      </w:r>
      <w:proofErr w:type="spellEnd"/>
      <w:r w:rsidR="00D24BF8">
        <w:rPr>
          <w:sz w:val="28"/>
          <w:szCs w:val="28"/>
        </w:rPr>
        <w:t xml:space="preserve">, Health and Social Affairs </w:t>
      </w:r>
    </w:p>
    <w:p w14:paraId="1C24DF99" w14:textId="5D46D426" w:rsidR="00204315" w:rsidRPr="00FE7B5B" w:rsidRDefault="00204315" w:rsidP="00D24BF8">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D24BF8" w:rsidRPr="00D24BF8">
        <w:rPr>
          <w:rFonts w:ascii="Times New Roman" w:hAnsi="Times New Roman" w:cs="Times New Roman"/>
          <w:iCs/>
          <w:color w:val="000000" w:themeColor="text1"/>
          <w:sz w:val="28"/>
          <w:szCs w:val="28"/>
        </w:rPr>
        <w:t>Georgia</w:t>
      </w:r>
    </w:p>
    <w:p w14:paraId="4DA2A196" w14:textId="4EDD64D7" w:rsidR="00204315" w:rsidRPr="00FE7B5B" w:rsidRDefault="00204315" w:rsidP="00204315">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D24BF8" w:rsidRPr="00D24BF8">
        <w:rPr>
          <w:rFonts w:ascii="Times New Roman" w:hAnsi="Times New Roman" w:cs="Times New Roman"/>
          <w:iCs/>
          <w:color w:val="000000" w:themeColor="text1"/>
          <w:sz w:val="28"/>
          <w:szCs w:val="28"/>
        </w:rPr>
        <w:t>20.05.2020</w:t>
      </w:r>
    </w:p>
    <w:p w14:paraId="0E389FA9" w14:textId="6A0CD133" w:rsidR="00204315" w:rsidRDefault="00204315">
      <w:pPr>
        <w:rPr>
          <w:rFonts w:ascii="Times New Roman" w:eastAsia="Times New Roman" w:hAnsi="Times New Roman" w:cs="Times New Roman"/>
          <w:b/>
          <w:noProof/>
          <w:sz w:val="36"/>
          <w:szCs w:val="24"/>
        </w:rPr>
      </w:pPr>
      <w:r>
        <w:rPr>
          <w:rFonts w:ascii="Times New Roman" w:eastAsia="Times New Roman" w:hAnsi="Times New Roman" w:cs="Times New Roman"/>
          <w:b/>
          <w:noProof/>
          <w:sz w:val="36"/>
          <w:szCs w:val="24"/>
        </w:rPr>
        <w:br w:type="page"/>
      </w:r>
    </w:p>
    <w:p w14:paraId="08C284C5" w14:textId="77777777" w:rsidR="00204315" w:rsidRPr="00204315" w:rsidRDefault="00204315">
      <w:pPr>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t>Contract Agreement</w:t>
      </w:r>
      <w:bookmarkEnd w:id="0"/>
      <w:bookmarkEnd w:id="1"/>
      <w:bookmarkEnd w:id="2"/>
      <w:bookmarkEnd w:id="3"/>
      <w:bookmarkEnd w:id="4"/>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471052D8" w:rsidR="0004651B" w:rsidRPr="00204315"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made the </w:t>
      </w:r>
      <w:r w:rsidR="00D24BF8">
        <w:rPr>
          <w:rFonts w:ascii="Times New Roman" w:eastAsia="Times New Roman" w:hAnsi="Times New Roman" w:cs="Times New Roman"/>
          <w:i/>
          <w:sz w:val="24"/>
          <w:szCs w:val="24"/>
        </w:rPr>
        <w:t>20</w:t>
      </w:r>
      <w:r w:rsidRPr="00204315">
        <w:rPr>
          <w:rFonts w:ascii="Times New Roman" w:eastAsia="Times New Roman" w:hAnsi="Times New Roman" w:cs="Times New Roman"/>
          <w:sz w:val="24"/>
          <w:szCs w:val="24"/>
        </w:rPr>
        <w:t xml:space="preserve"> day of </w:t>
      </w:r>
      <w:proofErr w:type="gramStart"/>
      <w:r w:rsidR="00D24BF8">
        <w:rPr>
          <w:rFonts w:ascii="Times New Roman" w:eastAsia="Times New Roman" w:hAnsi="Times New Roman" w:cs="Times New Roman"/>
          <w:i/>
          <w:sz w:val="24"/>
          <w:szCs w:val="24"/>
        </w:rPr>
        <w:t>May</w:t>
      </w:r>
      <w:r w:rsidRPr="00204315">
        <w:rPr>
          <w:rFonts w:ascii="Times New Roman" w:eastAsia="Times New Roman" w:hAnsi="Times New Roman" w:cs="Times New Roman"/>
          <w:sz w:val="24"/>
          <w:szCs w:val="24"/>
        </w:rPr>
        <w:t>,</w:t>
      </w:r>
      <w:proofErr w:type="gramEnd"/>
      <w:r w:rsidRPr="00204315">
        <w:rPr>
          <w:rFonts w:ascii="Times New Roman" w:eastAsia="Times New Roman" w:hAnsi="Times New Roman" w:cs="Times New Roman"/>
          <w:sz w:val="24"/>
          <w:szCs w:val="24"/>
        </w:rPr>
        <w:t xml:space="preserve"> </w:t>
      </w:r>
      <w:r w:rsidR="00D24BF8" w:rsidRPr="00D24BF8">
        <w:rPr>
          <w:rFonts w:ascii="Times New Roman" w:eastAsia="Times New Roman" w:hAnsi="Times New Roman" w:cs="Times New Roman"/>
          <w:iCs/>
          <w:sz w:val="24"/>
          <w:szCs w:val="24"/>
        </w:rPr>
        <w:t>2020</w:t>
      </w:r>
      <w:r w:rsidRPr="00204315">
        <w:rPr>
          <w:rFonts w:ascii="Times New Roman" w:eastAsia="Times New Roman" w:hAnsi="Times New Roman" w:cs="Times New Roman"/>
          <w:sz w:val="24"/>
          <w:szCs w:val="24"/>
        </w:rPr>
        <w:t>.</w:t>
      </w:r>
    </w:p>
    <w:p w14:paraId="05E74166" w14:textId="77777777" w:rsidR="0004651B" w:rsidRPr="00204315" w:rsidRDefault="0004651B" w:rsidP="0004651B">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6136793B"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00D24BF8" w:rsidRPr="00D24BF8">
        <w:rPr>
          <w:rFonts w:ascii="Times New Roman" w:eastAsia="Times New Roman" w:hAnsi="Times New Roman" w:cs="Times New Roman"/>
          <w:iCs/>
          <w:sz w:val="24"/>
          <w:szCs w:val="24"/>
        </w:rPr>
        <w:t>Ministry</w:t>
      </w:r>
      <w:r w:rsidR="00D24BF8">
        <w:rPr>
          <w:rFonts w:ascii="Times New Roman" w:eastAsia="Times New Roman" w:hAnsi="Times New Roman" w:cs="Times New Roman"/>
          <w:i/>
          <w:sz w:val="24"/>
          <w:szCs w:val="24"/>
        </w:rPr>
        <w:t xml:space="preserve"> </w:t>
      </w:r>
      <w:r w:rsidR="00D24BF8" w:rsidRPr="00204315">
        <w:rPr>
          <w:rFonts w:ascii="Times New Roman" w:eastAsia="Times New Roman" w:hAnsi="Times New Roman" w:cs="Times New Roman"/>
          <w:sz w:val="24"/>
          <w:szCs w:val="24"/>
        </w:rPr>
        <w:t>of</w:t>
      </w:r>
      <w:r w:rsidR="00D24BF8">
        <w:rPr>
          <w:rFonts w:ascii="Times New Roman" w:eastAsia="Times New Roman" w:hAnsi="Times New Roman" w:cs="Times New Roman"/>
          <w:sz w:val="24"/>
          <w:szCs w:val="24"/>
        </w:rPr>
        <w:t xml:space="preserve"> Internally Displaced Persons from Occupied Territories, </w:t>
      </w:r>
      <w:proofErr w:type="spellStart"/>
      <w:r w:rsidR="00D24BF8">
        <w:rPr>
          <w:rFonts w:ascii="Times New Roman" w:eastAsia="Times New Roman" w:hAnsi="Times New Roman" w:cs="Times New Roman"/>
          <w:sz w:val="24"/>
          <w:szCs w:val="24"/>
        </w:rPr>
        <w:t>Labour</w:t>
      </w:r>
      <w:proofErr w:type="spellEnd"/>
      <w:r w:rsidR="00D24BF8">
        <w:rPr>
          <w:rFonts w:ascii="Times New Roman" w:eastAsia="Times New Roman" w:hAnsi="Times New Roman" w:cs="Times New Roman"/>
          <w:sz w:val="24"/>
          <w:szCs w:val="24"/>
        </w:rPr>
        <w:t xml:space="preserve">, Health and Social Affairs </w:t>
      </w:r>
      <w:r w:rsidRPr="00204315">
        <w:rPr>
          <w:rFonts w:ascii="Times New Roman" w:eastAsia="Times New Roman" w:hAnsi="Times New Roman" w:cs="Times New Roman"/>
          <w:sz w:val="24"/>
          <w:szCs w:val="24"/>
        </w:rPr>
        <w:t xml:space="preserve">and having its principal place of business at </w:t>
      </w:r>
      <w:r w:rsidR="00D24BF8" w:rsidRPr="00D24BF8">
        <w:rPr>
          <w:rFonts w:ascii="Times New Roman" w:eastAsia="Times New Roman" w:hAnsi="Times New Roman" w:cs="Times New Roman"/>
          <w:iCs/>
          <w:sz w:val="24"/>
          <w:szCs w:val="24"/>
        </w:rPr>
        <w:t xml:space="preserve">144, Ak. Tsereteli </w:t>
      </w:r>
      <w:proofErr w:type="spellStart"/>
      <w:r w:rsidR="00D24BF8" w:rsidRPr="00D24BF8">
        <w:rPr>
          <w:rFonts w:ascii="Times New Roman" w:eastAsia="Times New Roman" w:hAnsi="Times New Roman" w:cs="Times New Roman"/>
          <w:iCs/>
          <w:sz w:val="24"/>
          <w:szCs w:val="24"/>
        </w:rPr>
        <w:t>ave</w:t>
      </w:r>
      <w:proofErr w:type="spellEnd"/>
      <w:r w:rsidR="00D24BF8" w:rsidRPr="00D24BF8">
        <w:rPr>
          <w:rFonts w:ascii="Times New Roman" w:eastAsia="Times New Roman" w:hAnsi="Times New Roman" w:cs="Times New Roman"/>
          <w:iCs/>
          <w:sz w:val="24"/>
          <w:szCs w:val="24"/>
        </w:rPr>
        <w:t>, Tbilisi, Georgia</w:t>
      </w:r>
      <w:r w:rsidRPr="00204315">
        <w:rPr>
          <w:rFonts w:ascii="Times New Roman" w:eastAsia="Times New Roman" w:hAnsi="Times New Roman" w:cs="Times New Roman"/>
          <w:sz w:val="24"/>
          <w:szCs w:val="24"/>
        </w:rPr>
        <w:t xml:space="preserve"> (hereinafter called “the Purchaser”), of the one part, and </w:t>
      </w:r>
    </w:p>
    <w:p w14:paraId="7A945D5E" w14:textId="2DB2E5C0"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D24BF8" w:rsidRPr="00D24BF8">
        <w:rPr>
          <w:rFonts w:ascii="Times New Roman" w:eastAsia="Times New Roman" w:hAnsi="Times New Roman" w:cs="Times New Roman"/>
          <w:iCs/>
          <w:sz w:val="24"/>
          <w:szCs w:val="24"/>
        </w:rPr>
        <w:t>MDS LTD</w:t>
      </w:r>
      <w:r w:rsidRPr="00204315">
        <w:rPr>
          <w:rFonts w:ascii="Times New Roman" w:eastAsia="Times New Roman" w:hAnsi="Times New Roman" w:cs="Times New Roman"/>
          <w:sz w:val="24"/>
          <w:szCs w:val="24"/>
        </w:rPr>
        <w:t xml:space="preserve">, a corporation incorporated under the laws of </w:t>
      </w:r>
      <w:r w:rsidR="00D24BF8" w:rsidRPr="00D24BF8">
        <w:rPr>
          <w:rFonts w:ascii="Times New Roman" w:eastAsia="Times New Roman" w:hAnsi="Times New Roman" w:cs="Times New Roman"/>
          <w:iCs/>
          <w:sz w:val="24"/>
          <w:szCs w:val="24"/>
        </w:rPr>
        <w:t>Georgia</w:t>
      </w:r>
      <w:r w:rsidRPr="00D24BF8">
        <w:rPr>
          <w:rFonts w:ascii="Times New Roman" w:eastAsia="Times New Roman" w:hAnsi="Times New Roman" w:cs="Times New Roman"/>
          <w:iCs/>
          <w:sz w:val="24"/>
          <w:szCs w:val="24"/>
        </w:rPr>
        <w:t xml:space="preserve"> </w:t>
      </w:r>
      <w:r w:rsidRPr="00204315">
        <w:rPr>
          <w:rFonts w:ascii="Times New Roman" w:eastAsia="Times New Roman" w:hAnsi="Times New Roman" w:cs="Times New Roman"/>
          <w:sz w:val="24"/>
          <w:szCs w:val="24"/>
        </w:rPr>
        <w:t xml:space="preserve">and having its principal place of business at </w:t>
      </w:r>
      <w:proofErr w:type="spellStart"/>
      <w:r w:rsidR="00D24BF8" w:rsidRPr="00D24BF8">
        <w:rPr>
          <w:rFonts w:ascii="Times New Roman" w:eastAsia="Times New Roman" w:hAnsi="Times New Roman" w:cs="Times New Roman"/>
          <w:iCs/>
          <w:sz w:val="24"/>
          <w:szCs w:val="24"/>
        </w:rPr>
        <w:t>Tskhneti</w:t>
      </w:r>
      <w:proofErr w:type="spellEnd"/>
      <w:r w:rsidR="00D24BF8" w:rsidRPr="00D24BF8">
        <w:rPr>
          <w:rFonts w:ascii="Times New Roman" w:eastAsia="Times New Roman" w:hAnsi="Times New Roman" w:cs="Times New Roman"/>
          <w:iCs/>
          <w:sz w:val="24"/>
          <w:szCs w:val="24"/>
        </w:rPr>
        <w:t xml:space="preserve"> highway 15, Tbilisi, Georgia</w:t>
      </w:r>
      <w:r w:rsidR="00D24BF8" w:rsidRPr="00D24BF8">
        <w:rPr>
          <w:rFonts w:ascii="Times New Roman" w:eastAsia="Times New Roman" w:hAnsi="Times New Roman" w:cs="Times New Roman"/>
          <w:i/>
          <w:sz w:val="24"/>
          <w:szCs w:val="24"/>
        </w:rPr>
        <w:t xml:space="preserve"> </w:t>
      </w:r>
      <w:r w:rsidRPr="00204315">
        <w:rPr>
          <w:rFonts w:ascii="Times New Roman" w:eastAsia="Times New Roman" w:hAnsi="Times New Roman" w:cs="Times New Roman"/>
          <w:sz w:val="24"/>
          <w:szCs w:val="24"/>
        </w:rPr>
        <w:t xml:space="preserve">(hereinafter called “the Supplier”), of the other </w:t>
      </w:r>
      <w:r w:rsidR="00D24BF8" w:rsidRPr="00204315">
        <w:rPr>
          <w:rFonts w:ascii="Times New Roman" w:eastAsia="Times New Roman" w:hAnsi="Times New Roman" w:cs="Times New Roman"/>
          <w:sz w:val="24"/>
          <w:szCs w:val="24"/>
        </w:rPr>
        <w:t>part:</w:t>
      </w:r>
    </w:p>
    <w:p w14:paraId="251D2D2B" w14:textId="77777777" w:rsidR="0004651B" w:rsidRPr="00204315" w:rsidRDefault="0004651B" w:rsidP="0004651B">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7777777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2F50C93B"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Pr="00204315">
        <w:rPr>
          <w:rFonts w:ascii="Times New Roman" w:eastAsia="Times New Roman" w:hAnsi="Times New Roman" w:cs="Times New Roman"/>
          <w:sz w:val="24"/>
          <w:szCs w:val="24"/>
        </w:rPr>
        <w:t>documents.</w:t>
      </w:r>
    </w:p>
    <w:p w14:paraId="044FAE9A" w14:textId="74F31314" w:rsidR="0004651B" w:rsidRPr="00D24BF8"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iCs/>
          <w:sz w:val="24"/>
          <w:szCs w:val="24"/>
        </w:rPr>
      </w:pPr>
      <w:r w:rsidRPr="00D24BF8">
        <w:rPr>
          <w:rFonts w:ascii="Times New Roman" w:eastAsia="Times New Roman" w:hAnsi="Times New Roman" w:cs="Times New Roman"/>
          <w:iCs/>
          <w:sz w:val="24"/>
          <w:szCs w:val="24"/>
        </w:rPr>
        <w:t>Minutes of Negotiations</w:t>
      </w:r>
    </w:p>
    <w:p w14:paraId="4FEAFB8D"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04C12C9D" w14:textId="4DC49065" w:rsidR="0004651B" w:rsidRPr="00204315"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t</w:t>
      </w:r>
      <w:r w:rsidR="0004651B" w:rsidRPr="00204315">
        <w:rPr>
          <w:rFonts w:ascii="Times New Roman" w:eastAsia="Times New Roman" w:hAnsi="Times New Roman" w:cs="Times New Roman"/>
          <w:sz w:val="24"/>
          <w:szCs w:val="24"/>
        </w:rPr>
        <w:t>he</w:t>
      </w:r>
      <w:r w:rsidRPr="00204315">
        <w:rPr>
          <w:rFonts w:ascii="Times New Roman" w:eastAsia="Times New Roman" w:hAnsi="Times New Roman" w:cs="Times New Roman"/>
          <w:sz w:val="24"/>
          <w:szCs w:val="24"/>
        </w:rPr>
        <w:t xml:space="preserve"> Purchaser’s Requirements </w:t>
      </w:r>
      <w:r w:rsidR="0004651B" w:rsidRPr="00204315">
        <w:rPr>
          <w:rFonts w:ascii="Times New Roman" w:eastAsia="Times New Roman" w:hAnsi="Times New Roman" w:cs="Times New Roman"/>
          <w:sz w:val="24"/>
          <w:szCs w:val="24"/>
        </w:rPr>
        <w:t xml:space="preserve">(including </w:t>
      </w:r>
      <w:r w:rsidRPr="00204315">
        <w:rPr>
          <w:rFonts w:ascii="Times New Roman" w:eastAsia="Times New Roman" w:hAnsi="Times New Roman" w:cs="Times New Roman"/>
          <w:sz w:val="24"/>
          <w:szCs w:val="24"/>
        </w:rPr>
        <w:t xml:space="preserve">the </w:t>
      </w:r>
      <w:r w:rsidR="0004651B" w:rsidRPr="00204315">
        <w:rPr>
          <w:rFonts w:ascii="Times New Roman" w:eastAsia="Times New Roman" w:hAnsi="Times New Roman" w:cs="Times New Roman"/>
          <w:sz w:val="24"/>
          <w:szCs w:val="24"/>
        </w:rPr>
        <w:t>Schedule of Requirements and Technical Specifications)</w:t>
      </w:r>
    </w:p>
    <w:p w14:paraId="01D93517"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completed Schedules (including Price Schedules) </w:t>
      </w:r>
    </w:p>
    <w:p w14:paraId="04D673B9"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43282CAC"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3.</w:t>
      </w:r>
      <w:r w:rsidRPr="00204315">
        <w:rPr>
          <w:rFonts w:ascii="Times New Roman" w:eastAsia="Times New Roman" w:hAnsi="Times New Roman" w:cs="Times New Roman"/>
          <w:sz w:val="24"/>
          <w:szCs w:val="24"/>
        </w:rPr>
        <w:tab/>
        <w:t xml:space="preserve">In consideration of the payments to be made by the Purchaser to the Supplier as specified in this Agreement, the Supplier hereby covenants with the Purchaser to provide the Goods and </w:t>
      </w:r>
      <w:r w:rsidR="000F3986" w:rsidRPr="00933B6C">
        <w:rPr>
          <w:rFonts w:ascii="Times New Roman" w:eastAsia="Times New Roman" w:hAnsi="Times New Roman" w:cs="Times New Roman"/>
          <w:sz w:val="24"/>
          <w:szCs w:val="24"/>
        </w:rPr>
        <w:t xml:space="preserve">Related </w:t>
      </w:r>
      <w:r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i/>
          <w:sz w:val="24"/>
          <w:szCs w:val="24"/>
        </w:rPr>
        <w:t xml:space="preserve">, </w:t>
      </w:r>
      <w:r w:rsidRPr="00204315">
        <w:rPr>
          <w:rFonts w:ascii="Times New Roman" w:eastAsia="Times New Roman" w:hAnsi="Times New Roman" w:cs="Times New Roman"/>
          <w:sz w:val="24"/>
          <w:szCs w:val="24"/>
        </w:rPr>
        <w:t>and to remedy defects therein in conformity in all respects with the provisions of the Contract.</w:t>
      </w:r>
    </w:p>
    <w:p w14:paraId="6550C74C" w14:textId="6866EAA9" w:rsidR="0004651B" w:rsidRPr="00204315" w:rsidRDefault="000F3986" w:rsidP="002043CA">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lastRenderedPageBreak/>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 xml:space="preserve">The Purchaser hereby covenants to pay the Supplier in consideration of the provision of the Goods and </w:t>
      </w:r>
      <w:r w:rsidRPr="00933B6C">
        <w:rPr>
          <w:rFonts w:ascii="Times New Roman" w:eastAsia="Times New Roman" w:hAnsi="Times New Roman" w:cs="Times New Roman"/>
          <w:sz w:val="24"/>
          <w:szCs w:val="24"/>
        </w:rPr>
        <w:t xml:space="preserve">Related </w:t>
      </w:r>
      <w:r w:rsidR="0004651B"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b/>
          <w:i/>
          <w:sz w:val="24"/>
          <w:szCs w:val="24"/>
        </w:rPr>
        <w:t xml:space="preserve">, </w:t>
      </w:r>
      <w:r w:rsidR="0004651B" w:rsidRPr="00204315">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67E68F4E" w:rsidR="0004651B" w:rsidRPr="00204315" w:rsidRDefault="0004651B" w:rsidP="0004651B">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be executed in accordance with the laws of </w:t>
      </w:r>
      <w:r w:rsidR="00D24BF8" w:rsidRPr="00D24BF8">
        <w:rPr>
          <w:rFonts w:ascii="Times New Roman" w:eastAsia="Times New Roman" w:hAnsi="Times New Roman" w:cs="Times New Roman"/>
          <w:sz w:val="24"/>
          <w:szCs w:val="24"/>
        </w:rPr>
        <w:t>Georgia</w:t>
      </w:r>
      <w:r w:rsidR="000F3986" w:rsidRPr="00D24BF8">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on the day, month and year indicated above.</w:t>
      </w:r>
    </w:p>
    <w:p w14:paraId="4334238D" w14:textId="4ED2DBA8" w:rsidR="00D11095" w:rsidRPr="0016667E" w:rsidRDefault="00D11095" w:rsidP="00CA0CC0">
      <w:pPr>
        <w:spacing w:after="0" w:line="240" w:lineRule="auto"/>
        <w:jc w:val="both"/>
        <w:rPr>
          <w:rFonts w:ascii="Times New Roman" w:eastAsia="Times New Roman" w:hAnsi="Times New Roman" w:cs="Times New Roman"/>
          <w:i/>
          <w:sz w:val="24"/>
          <w:szCs w:val="24"/>
        </w:rPr>
      </w:pPr>
      <w:r w:rsidRPr="00CA0CC0">
        <w:rPr>
          <w:rFonts w:ascii="Times New Roman" w:eastAsia="Times New Roman" w:hAnsi="Times New Roman" w:cs="Times New Roman"/>
          <w:i/>
          <w:sz w:val="24"/>
          <w:szCs w:val="24"/>
        </w:rPr>
        <w:t xml:space="preserve">To facilitate this emergency procurement, electronic signature of the Contract Agreement </w:t>
      </w:r>
      <w:r w:rsidR="00D24BF8">
        <w:rPr>
          <w:rFonts w:ascii="Times New Roman" w:eastAsia="Times New Roman" w:hAnsi="Times New Roman" w:cs="Times New Roman"/>
          <w:i/>
          <w:sz w:val="24"/>
          <w:szCs w:val="24"/>
        </w:rPr>
        <w:t>is acceptable to the Supplier and Purchaser</w:t>
      </w:r>
    </w:p>
    <w:p w14:paraId="3897343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i/>
          <w:iCs/>
          <w:sz w:val="24"/>
          <w:szCs w:val="24"/>
        </w:rPr>
        <w:t xml:space="preserve">[insert signature] </w:t>
      </w:r>
      <w:r w:rsidRPr="00204315">
        <w:rPr>
          <w:rFonts w:ascii="Times New Roman" w:eastAsia="Times New Roman" w:hAnsi="Times New Roman" w:cs="Times New Roman"/>
          <w:sz w:val="24"/>
          <w:szCs w:val="24"/>
        </w:rPr>
        <w:tab/>
      </w:r>
    </w:p>
    <w:p w14:paraId="3958C1B0"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Pr="00204315">
        <w:rPr>
          <w:rFonts w:ascii="Times New Roman" w:eastAsia="Times New Roman" w:hAnsi="Times New Roman" w:cs="Times New Roman"/>
          <w:i/>
          <w:sz w:val="24"/>
          <w:szCs w:val="24"/>
        </w:rPr>
        <w:t>[insert title or other appropriate designation]</w:t>
      </w:r>
    </w:p>
    <w:p w14:paraId="1D0B44CC" w14:textId="77777777" w:rsidR="0004651B" w:rsidRPr="00204315"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204315">
        <w:rPr>
          <w:rFonts w:ascii="Times New Roman" w:eastAsia="Times New Roman" w:hAnsi="Times New Roman" w:cs="Times New Roman"/>
          <w:i/>
          <w:iCs/>
          <w:sz w:val="24"/>
          <w:szCs w:val="24"/>
        </w:rPr>
        <w:t>[insert identification of official witness]</w:t>
      </w:r>
    </w:p>
    <w:p w14:paraId="545B0101"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i/>
          <w:iCs/>
          <w:sz w:val="24"/>
          <w:szCs w:val="24"/>
        </w:rPr>
        <w:t>[insert signature of authorized representative(s) of the Supplier]</w:t>
      </w:r>
      <w:r w:rsidRPr="00204315">
        <w:rPr>
          <w:rFonts w:ascii="Times New Roman" w:eastAsia="Times New Roman" w:hAnsi="Times New Roman" w:cs="Times New Roman"/>
          <w:sz w:val="24"/>
          <w:szCs w:val="24"/>
        </w:rPr>
        <w:t xml:space="preserve"> </w:t>
      </w:r>
    </w:p>
    <w:p w14:paraId="36F8B5B1"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Pr="00204315">
        <w:rPr>
          <w:rFonts w:ascii="Times New Roman" w:eastAsia="Times New Roman" w:hAnsi="Times New Roman" w:cs="Times New Roman"/>
          <w:i/>
          <w:sz w:val="24"/>
          <w:szCs w:val="24"/>
        </w:rPr>
        <w:t>[insert title or other appropriate designation]</w:t>
      </w:r>
    </w:p>
    <w:p w14:paraId="7E5F0C9B" w14:textId="77777777" w:rsidR="0004651B" w:rsidRPr="00204315"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204315">
        <w:rPr>
          <w:rFonts w:ascii="Times New Roman" w:eastAsia="Times New Roman" w:hAnsi="Times New Roman" w:cs="Times New Roman"/>
          <w:i/>
          <w:iCs/>
          <w:sz w:val="24"/>
          <w:szCs w:val="24"/>
        </w:rPr>
        <w:t>[insert identification of official witness]</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5"/>
    <w:p w14:paraId="64C876F7" w14:textId="77777777" w:rsidR="0004651B" w:rsidRPr="00204315"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204315" w:rsidRDefault="0004651B" w:rsidP="0004651B">
      <w:pPr>
        <w:spacing w:after="0" w:line="240" w:lineRule="auto"/>
        <w:rPr>
          <w:rFonts w:ascii="Times New Roman" w:eastAsia="Times New Roman" w:hAnsi="Times New Roman" w:cs="Times New Roman"/>
          <w:sz w:val="24"/>
          <w:szCs w:val="24"/>
        </w:rPr>
      </w:pPr>
      <w:bookmarkStart w:id="6" w:name="_Toc436904424"/>
      <w:r w:rsidRPr="00204315">
        <w:rPr>
          <w:rFonts w:ascii="Times New Roman" w:eastAsia="Times New Roman" w:hAnsi="Times New Roman" w:cs="Times New Roman"/>
          <w:sz w:val="24"/>
          <w:szCs w:val="24"/>
        </w:rPr>
        <w:br w:type="page"/>
      </w:r>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7"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7"/>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6F0749">
            <w:pPr>
              <w:pStyle w:val="COCgcc"/>
              <w:numPr>
                <w:ilvl w:val="0"/>
                <w:numId w:val="33"/>
              </w:numPr>
              <w:ind w:left="331"/>
            </w:pPr>
            <w:r w:rsidRPr="00204315">
              <w:t xml:space="preserve">Definitions  </w:t>
            </w:r>
          </w:p>
        </w:tc>
        <w:tc>
          <w:tcPr>
            <w:tcW w:w="6930" w:type="dxa"/>
            <w:vAlign w:val="center"/>
          </w:tcPr>
          <w:p w14:paraId="45F3D520" w14:textId="77777777" w:rsidR="00E1320C" w:rsidRPr="00204315" w:rsidRDefault="00E1320C" w:rsidP="006F0749">
            <w:pPr>
              <w:pStyle w:val="CoCHeading1"/>
              <w:numPr>
                <w:ilvl w:val="1"/>
                <w:numId w:val="33"/>
              </w:numPr>
              <w:ind w:left="691" w:hanging="720"/>
              <w:jc w:val="both"/>
            </w:pPr>
            <w:r w:rsidRPr="00204315">
              <w:t>The following words and expressions shall have the meanings hereby assigned to them:</w:t>
            </w:r>
          </w:p>
          <w:p w14:paraId="36440065" w14:textId="77777777" w:rsidR="00E1320C" w:rsidRPr="00204315" w:rsidRDefault="00E1320C" w:rsidP="006F0749">
            <w:pPr>
              <w:pStyle w:val="Heading3"/>
              <w:numPr>
                <w:ilvl w:val="2"/>
                <w:numId w:val="32"/>
              </w:numPr>
              <w:tabs>
                <w:tab w:val="clear" w:pos="1152"/>
              </w:tabs>
              <w:ind w:left="1154" w:hanging="45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6F0749">
            <w:pPr>
              <w:pStyle w:val="Heading3"/>
              <w:numPr>
                <w:ilvl w:val="2"/>
                <w:numId w:val="32"/>
              </w:numPr>
              <w:tabs>
                <w:tab w:val="clear" w:pos="1152"/>
              </w:tabs>
              <w:ind w:left="1154" w:hanging="450"/>
              <w:outlineLvl w:val="2"/>
            </w:pPr>
            <w:r w:rsidRPr="00204315">
              <w:t>“CC” means the Conditions of Contract.</w:t>
            </w:r>
          </w:p>
          <w:p w14:paraId="6B84FA29" w14:textId="77777777" w:rsidR="00E1320C" w:rsidRPr="00204315" w:rsidRDefault="00E1320C" w:rsidP="006F0749">
            <w:pPr>
              <w:pStyle w:val="Heading3"/>
              <w:numPr>
                <w:ilvl w:val="2"/>
                <w:numId w:val="32"/>
              </w:numPr>
              <w:tabs>
                <w:tab w:val="clear" w:pos="1152"/>
              </w:tabs>
              <w:ind w:left="1154" w:hanging="45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6F0749">
            <w:pPr>
              <w:pStyle w:val="Heading3"/>
              <w:numPr>
                <w:ilvl w:val="2"/>
                <w:numId w:val="32"/>
              </w:numPr>
              <w:tabs>
                <w:tab w:val="clear" w:pos="1152"/>
              </w:tabs>
              <w:ind w:left="1154" w:hanging="450"/>
              <w:outlineLvl w:val="2"/>
            </w:pPr>
            <w:r w:rsidRPr="00204315">
              <w:t>“Contract Documents” means the documents listed in the Contract Agreement, including any amendments thereto.</w:t>
            </w:r>
          </w:p>
          <w:p w14:paraId="65F35209" w14:textId="1C6A9C2D" w:rsidR="00E1320C" w:rsidRPr="00204315" w:rsidRDefault="00E1320C" w:rsidP="006F0749">
            <w:pPr>
              <w:pStyle w:val="Heading3"/>
              <w:numPr>
                <w:ilvl w:val="2"/>
                <w:numId w:val="32"/>
              </w:numPr>
              <w:tabs>
                <w:tab w:val="clear" w:pos="1152"/>
              </w:tabs>
              <w:ind w:left="1154" w:hanging="45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6F0749">
            <w:pPr>
              <w:pStyle w:val="Heading3"/>
              <w:numPr>
                <w:ilvl w:val="2"/>
                <w:numId w:val="32"/>
              </w:numPr>
              <w:tabs>
                <w:tab w:val="clear" w:pos="1152"/>
              </w:tabs>
              <w:ind w:left="1154" w:hanging="450"/>
              <w:outlineLvl w:val="2"/>
            </w:pPr>
            <w:r w:rsidRPr="00204315">
              <w:t>“Day” means calendar day.</w:t>
            </w:r>
          </w:p>
          <w:p w14:paraId="6A40F73E" w14:textId="77777777" w:rsidR="00E1320C" w:rsidRPr="00204315" w:rsidRDefault="00E1320C" w:rsidP="006F0749">
            <w:pPr>
              <w:pStyle w:val="Heading3"/>
              <w:numPr>
                <w:ilvl w:val="2"/>
                <w:numId w:val="32"/>
              </w:numPr>
              <w:tabs>
                <w:tab w:val="clear" w:pos="1152"/>
              </w:tabs>
              <w:ind w:left="1154" w:hanging="450"/>
              <w:outlineLvl w:val="2"/>
            </w:pPr>
            <w:r w:rsidRPr="00204315">
              <w:t xml:space="preserve">“Completion” means the fulfillment of the Related Services, as applicable, by the Supplier in accordance with the terms and conditions set forth in the Contract. </w:t>
            </w:r>
          </w:p>
          <w:p w14:paraId="595A0799" w14:textId="77777777" w:rsidR="00E1320C" w:rsidRPr="00204315" w:rsidRDefault="00E1320C" w:rsidP="006F0749">
            <w:pPr>
              <w:pStyle w:val="Heading3"/>
              <w:numPr>
                <w:ilvl w:val="2"/>
                <w:numId w:val="32"/>
              </w:numPr>
              <w:tabs>
                <w:tab w:val="clear" w:pos="1152"/>
              </w:tabs>
              <w:ind w:left="1154" w:hanging="450"/>
              <w:outlineLvl w:val="2"/>
            </w:pPr>
            <w:r w:rsidRPr="00204315">
              <w:t>“CC” means the Conditions of Contract.</w:t>
            </w:r>
          </w:p>
          <w:p w14:paraId="6DE25F02" w14:textId="72AE43E9" w:rsidR="00E1320C" w:rsidRDefault="00E1320C" w:rsidP="006F0749">
            <w:pPr>
              <w:pStyle w:val="Heading3"/>
              <w:numPr>
                <w:ilvl w:val="2"/>
                <w:numId w:val="32"/>
              </w:numPr>
              <w:tabs>
                <w:tab w:val="clear" w:pos="1152"/>
              </w:tabs>
              <w:ind w:left="1154" w:hanging="450"/>
              <w:outlineLvl w:val="2"/>
            </w:pPr>
            <w:r w:rsidRPr="00204315">
              <w:t>“Goods” means all of the commodities, raw material, machinery and equipment, and/or other materials that the Supplier is required to supply to the Purchaser under the Contract.</w:t>
            </w:r>
          </w:p>
          <w:p w14:paraId="227043A6" w14:textId="0EC82C9F" w:rsidR="00D11095" w:rsidRPr="00D11095" w:rsidRDefault="00D11095" w:rsidP="00D11095">
            <w:pPr>
              <w:pStyle w:val="Heading3"/>
              <w:numPr>
                <w:ilvl w:val="2"/>
                <w:numId w:val="32"/>
              </w:numPr>
              <w:tabs>
                <w:tab w:val="clear" w:pos="1152"/>
              </w:tabs>
              <w:ind w:left="1154" w:hanging="450"/>
              <w:outlineLvl w:val="2"/>
            </w:pPr>
            <w:r w:rsidRPr="00D11095">
              <w:rPr>
                <w:noProof/>
              </w:rPr>
              <w:t>“Party”</w:t>
            </w:r>
            <w:r w:rsidRPr="00BB216A">
              <w:rPr>
                <w:noProof/>
              </w:rPr>
              <w:t xml:space="preserve"> means the Purchaser or the Contractor, as the context requires, and “Parties” means both of them.</w:t>
            </w:r>
          </w:p>
          <w:p w14:paraId="2063B52F" w14:textId="4B9D7EDE" w:rsidR="00E1320C" w:rsidRPr="00204315" w:rsidRDefault="00E1320C" w:rsidP="006F0749">
            <w:pPr>
              <w:pStyle w:val="Heading3"/>
              <w:numPr>
                <w:ilvl w:val="2"/>
                <w:numId w:val="32"/>
              </w:numPr>
              <w:tabs>
                <w:tab w:val="clear" w:pos="1152"/>
              </w:tabs>
              <w:ind w:left="1154" w:hanging="450"/>
              <w:outlineLvl w:val="2"/>
            </w:pPr>
            <w:r w:rsidRPr="00204315">
              <w:t>“Purchaser” means the entity purchasing the Goods and Related Services</w:t>
            </w:r>
            <w:r w:rsidR="000F3986" w:rsidRPr="00204315">
              <w:t xml:space="preserve"> as applicable</w:t>
            </w:r>
            <w:r w:rsidRPr="00204315">
              <w:t>, as specified in CC 2</w:t>
            </w:r>
            <w:r w:rsidRPr="00204315">
              <w:rPr>
                <w:bCs/>
              </w:rPr>
              <w:t>.</w:t>
            </w:r>
          </w:p>
          <w:p w14:paraId="2C2A7D74" w14:textId="77777777" w:rsidR="00E1320C" w:rsidRPr="00204315" w:rsidRDefault="00E1320C" w:rsidP="006F0749">
            <w:pPr>
              <w:pStyle w:val="Heading3"/>
              <w:numPr>
                <w:ilvl w:val="2"/>
                <w:numId w:val="32"/>
              </w:numPr>
              <w:tabs>
                <w:tab w:val="clear" w:pos="1152"/>
              </w:tabs>
              <w:ind w:left="1154" w:hanging="450"/>
              <w:outlineLvl w:val="2"/>
            </w:pPr>
            <w:r w:rsidRPr="00204315">
              <w:t>“Purchaser’s Country” is the country specified in the CC 2.</w:t>
            </w:r>
          </w:p>
          <w:p w14:paraId="751B9983" w14:textId="77777777" w:rsidR="00E1320C" w:rsidRPr="00204315" w:rsidRDefault="00E1320C" w:rsidP="006F0749">
            <w:pPr>
              <w:pStyle w:val="Heading3"/>
              <w:numPr>
                <w:ilvl w:val="2"/>
                <w:numId w:val="32"/>
              </w:numPr>
              <w:tabs>
                <w:tab w:val="clear" w:pos="1152"/>
              </w:tabs>
              <w:ind w:left="1154" w:hanging="450"/>
              <w:outlineLvl w:val="2"/>
            </w:pPr>
            <w:r w:rsidRPr="00204315">
              <w:t xml:space="preserve"> “Related Services” means the services incidental to the supply of the goods, such as insurance, installation, </w:t>
            </w:r>
            <w:r w:rsidRPr="00204315">
              <w:lastRenderedPageBreak/>
              <w:t>training and initial maintenance and other such obligations of the Supplier under the Contract, as applicable.</w:t>
            </w:r>
          </w:p>
          <w:p w14:paraId="3EDD36A5" w14:textId="10657B2F" w:rsidR="00E1320C" w:rsidRPr="00204315" w:rsidRDefault="00E1320C" w:rsidP="006F0749">
            <w:pPr>
              <w:pStyle w:val="Heading3"/>
              <w:numPr>
                <w:ilvl w:val="2"/>
                <w:numId w:val="32"/>
              </w:numPr>
              <w:tabs>
                <w:tab w:val="clear" w:pos="1152"/>
              </w:tabs>
              <w:ind w:left="1154" w:hanging="450"/>
              <w:outlineLvl w:val="2"/>
            </w:pPr>
            <w:r w:rsidRPr="00204315">
              <w:t xml:space="preserve"> “Subcontractor” means any person, private or government entity, or a combination of the above, to whom any part of the Goods to be supplied or execution of any part of the Related Services </w:t>
            </w:r>
            <w:r w:rsidR="00933B6C">
              <w:t xml:space="preserve">if applicable </w:t>
            </w:r>
            <w:r w:rsidRPr="00204315">
              <w:t>is subcontracted by the Supplier.</w:t>
            </w:r>
          </w:p>
          <w:p w14:paraId="47861BC0" w14:textId="43F0A405" w:rsidR="00E1320C" w:rsidRPr="00204315" w:rsidRDefault="00E1320C" w:rsidP="006F0749">
            <w:pPr>
              <w:pStyle w:val="Heading3"/>
              <w:numPr>
                <w:ilvl w:val="2"/>
                <w:numId w:val="32"/>
              </w:numPr>
              <w:tabs>
                <w:tab w:val="clear" w:pos="1152"/>
              </w:tabs>
              <w:ind w:left="1154" w:hanging="45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has been accepted by the Purchaser and is named as such in the Contract Agreement.</w:t>
            </w:r>
          </w:p>
          <w:p w14:paraId="7EE37D59" w14:textId="77777777" w:rsidR="00E1320C" w:rsidRPr="00204315" w:rsidRDefault="00E1320C" w:rsidP="006F0749">
            <w:pPr>
              <w:pStyle w:val="Heading3"/>
              <w:numPr>
                <w:ilvl w:val="2"/>
                <w:numId w:val="32"/>
              </w:numPr>
              <w:tabs>
                <w:tab w:val="clear" w:pos="1152"/>
              </w:tabs>
              <w:ind w:left="1154" w:hanging="45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204315" w:rsidRDefault="00E1320C" w:rsidP="006F0749">
            <w:pPr>
              <w:pStyle w:val="COCgcc"/>
              <w:numPr>
                <w:ilvl w:val="0"/>
                <w:numId w:val="33"/>
              </w:numPr>
              <w:ind w:left="331"/>
            </w:pPr>
            <w:r w:rsidRPr="00204315">
              <w:lastRenderedPageBreak/>
              <w:t>Purchaser, Purchaser’s Country, Project Site/Final Destination</w:t>
            </w:r>
          </w:p>
        </w:tc>
        <w:tc>
          <w:tcPr>
            <w:tcW w:w="6930" w:type="dxa"/>
          </w:tcPr>
          <w:p w14:paraId="457322D5" w14:textId="77777777" w:rsidR="005C137C" w:rsidRDefault="005C137C" w:rsidP="005C137C">
            <w:pPr>
              <w:pStyle w:val="CoCHeading1"/>
              <w:numPr>
                <w:ilvl w:val="1"/>
                <w:numId w:val="49"/>
              </w:numPr>
              <w:ind w:left="691" w:hanging="720"/>
              <w:jc w:val="both"/>
              <w:rPr>
                <w:b/>
                <w:bCs w:val="0"/>
                <w:i w:val="0"/>
                <w:iCs/>
              </w:rPr>
            </w:pPr>
            <w:r>
              <w:rPr>
                <w:i w:val="0"/>
              </w:rPr>
              <w:t>The Purchaser is:</w:t>
            </w:r>
            <w:r>
              <w:t xml:space="preserve"> </w:t>
            </w:r>
            <w:r>
              <w:rPr>
                <w:b/>
                <w:bCs w:val="0"/>
                <w:i w:val="0"/>
                <w:iCs/>
              </w:rPr>
              <w:t xml:space="preserve">Ministry of Internally Displaced Persons from Occupied Territories, </w:t>
            </w:r>
            <w:proofErr w:type="spellStart"/>
            <w:r>
              <w:rPr>
                <w:b/>
                <w:bCs w:val="0"/>
                <w:i w:val="0"/>
                <w:iCs/>
              </w:rPr>
              <w:t>Labour</w:t>
            </w:r>
            <w:proofErr w:type="spellEnd"/>
            <w:r>
              <w:rPr>
                <w:b/>
                <w:bCs w:val="0"/>
                <w:i w:val="0"/>
                <w:iCs/>
              </w:rPr>
              <w:t>, Health and Social Affairs</w:t>
            </w:r>
          </w:p>
          <w:p w14:paraId="6D0C1E51" w14:textId="77777777" w:rsidR="005C137C" w:rsidRDefault="005C137C" w:rsidP="005C137C">
            <w:pPr>
              <w:pStyle w:val="CoCHeading1"/>
              <w:numPr>
                <w:ilvl w:val="1"/>
                <w:numId w:val="49"/>
              </w:numPr>
              <w:ind w:left="691" w:hanging="720"/>
              <w:jc w:val="both"/>
              <w:rPr>
                <w:i w:val="0"/>
              </w:rPr>
            </w:pPr>
            <w:r>
              <w:rPr>
                <w:i w:val="0"/>
              </w:rPr>
              <w:t xml:space="preserve">The Purchaser’s Country </w:t>
            </w:r>
            <w:proofErr w:type="gramStart"/>
            <w:r>
              <w:rPr>
                <w:i w:val="0"/>
              </w:rPr>
              <w:t>is:</w:t>
            </w:r>
            <w:proofErr w:type="gramEnd"/>
            <w:r>
              <w:t xml:space="preserve"> </w:t>
            </w:r>
            <w:r>
              <w:rPr>
                <w:b/>
                <w:bCs w:val="0"/>
                <w:i w:val="0"/>
              </w:rPr>
              <w:t>Georgia</w:t>
            </w:r>
          </w:p>
          <w:p w14:paraId="05067177" w14:textId="04F3FA92" w:rsidR="00E1320C" w:rsidRPr="00204315" w:rsidRDefault="005C137C" w:rsidP="005C137C">
            <w:pPr>
              <w:pStyle w:val="CoCHeading1"/>
              <w:numPr>
                <w:ilvl w:val="1"/>
                <w:numId w:val="33"/>
              </w:numPr>
              <w:ind w:left="691" w:hanging="720"/>
              <w:jc w:val="both"/>
            </w:pPr>
            <w:r>
              <w:t>The Project Site(s)/</w:t>
            </w:r>
            <w:proofErr w:type="gramStart"/>
            <w:r>
              <w:t>Final Destination</w:t>
            </w:r>
            <w:proofErr w:type="gramEnd"/>
            <w:r>
              <w:t xml:space="preserve">(s) is/are: </w:t>
            </w:r>
            <w:r>
              <w:rPr>
                <w:iCs/>
              </w:rPr>
              <w:t xml:space="preserve">144, Ak. Tsereteli </w:t>
            </w:r>
            <w:proofErr w:type="spellStart"/>
            <w:r>
              <w:rPr>
                <w:iCs/>
              </w:rPr>
              <w:t>ave</w:t>
            </w:r>
            <w:proofErr w:type="spellEnd"/>
            <w:r>
              <w:rPr>
                <w:iCs/>
              </w:rPr>
              <w:t xml:space="preserve">, Tbilisi, </w:t>
            </w:r>
            <w:proofErr w:type="spellStart"/>
            <w:r>
              <w:rPr>
                <w:iCs/>
              </w:rPr>
              <w:t>Gerogia</w:t>
            </w:r>
            <w:proofErr w:type="spellEnd"/>
            <w:r>
              <w:rPr>
                <w:iCs/>
              </w:rPr>
              <w:t xml:space="preserve">/118, Ak. Tsereteli </w:t>
            </w:r>
            <w:proofErr w:type="spellStart"/>
            <w:r>
              <w:rPr>
                <w:iCs/>
              </w:rPr>
              <w:t>ave</w:t>
            </w:r>
            <w:proofErr w:type="spellEnd"/>
            <w:r>
              <w:rPr>
                <w:iCs/>
              </w:rPr>
              <w:t>, Tbilisi, Georgia</w:t>
            </w:r>
          </w:p>
        </w:tc>
      </w:tr>
      <w:tr w:rsidR="00E1320C" w:rsidRPr="00204315" w14:paraId="5BDAC34A" w14:textId="77777777" w:rsidTr="00CA0CC0">
        <w:tc>
          <w:tcPr>
            <w:tcW w:w="2515" w:type="dxa"/>
          </w:tcPr>
          <w:p w14:paraId="7E5004EA" w14:textId="77777777" w:rsidR="00E1320C" w:rsidRPr="00204315" w:rsidRDefault="00E1320C" w:rsidP="006F0749">
            <w:pPr>
              <w:pStyle w:val="COCgcc"/>
              <w:numPr>
                <w:ilvl w:val="0"/>
                <w:numId w:val="33"/>
              </w:numPr>
              <w:ind w:left="331"/>
            </w:pPr>
            <w:r w:rsidRPr="00204315">
              <w:t xml:space="preserve">Incoterms </w:t>
            </w:r>
          </w:p>
        </w:tc>
        <w:tc>
          <w:tcPr>
            <w:tcW w:w="6930" w:type="dxa"/>
          </w:tcPr>
          <w:p w14:paraId="5ED9929F" w14:textId="15917F10" w:rsidR="00E1320C" w:rsidRPr="00204315" w:rsidRDefault="00E1320C" w:rsidP="006F0749">
            <w:pPr>
              <w:pStyle w:val="CoCHeading1"/>
              <w:numPr>
                <w:ilvl w:val="1"/>
                <w:numId w:val="33"/>
              </w:numPr>
              <w:ind w:left="691" w:hanging="720"/>
              <w:jc w:val="both"/>
            </w:pPr>
            <w:r w:rsidRPr="00204315">
              <w:rPr>
                <w:i w:val="0"/>
              </w:rPr>
              <w:t>The edition of Incoterms that shall apply is</w:t>
            </w:r>
            <w:r w:rsidRPr="00204315">
              <w:t xml:space="preserve">: </w:t>
            </w:r>
            <w:r w:rsidR="005C137C" w:rsidRPr="005C137C">
              <w:rPr>
                <w:i w:val="0"/>
              </w:rPr>
              <w:t>INCOTERM 2010</w:t>
            </w:r>
          </w:p>
        </w:tc>
      </w:tr>
      <w:tr w:rsidR="005C137C" w:rsidRPr="00204315" w14:paraId="79153A56" w14:textId="77777777" w:rsidTr="00CA0CC0">
        <w:tc>
          <w:tcPr>
            <w:tcW w:w="2515" w:type="dxa"/>
          </w:tcPr>
          <w:p w14:paraId="7282CC71" w14:textId="77777777" w:rsidR="005C137C" w:rsidRPr="00204315" w:rsidRDefault="005C137C" w:rsidP="005C137C">
            <w:pPr>
              <w:pStyle w:val="COCgcc"/>
              <w:numPr>
                <w:ilvl w:val="0"/>
                <w:numId w:val="33"/>
              </w:numPr>
              <w:ind w:left="331"/>
            </w:pPr>
            <w:r w:rsidRPr="00204315">
              <w:t>Notices and Addresses for notices</w:t>
            </w:r>
          </w:p>
          <w:p w14:paraId="1EE9EDBC" w14:textId="77777777" w:rsidR="005C137C" w:rsidRPr="00204315" w:rsidRDefault="005C137C" w:rsidP="005C137C">
            <w:pPr>
              <w:rPr>
                <w:b/>
              </w:rPr>
            </w:pPr>
          </w:p>
        </w:tc>
        <w:tc>
          <w:tcPr>
            <w:tcW w:w="6930" w:type="dxa"/>
            <w:vAlign w:val="center"/>
          </w:tcPr>
          <w:p w14:paraId="3B06F51A" w14:textId="77777777" w:rsidR="005C137C" w:rsidRPr="00237FCA" w:rsidRDefault="005C137C" w:rsidP="005C137C">
            <w:pPr>
              <w:pStyle w:val="ListParagraph"/>
              <w:numPr>
                <w:ilvl w:val="1"/>
                <w:numId w:val="33"/>
              </w:numPr>
              <w:spacing w:after="120"/>
              <w:ind w:hanging="793"/>
              <w:jc w:val="both"/>
              <w:rPr>
                <w:bCs/>
              </w:rPr>
            </w:pPr>
            <w:r w:rsidRPr="00237FCA">
              <w:rPr>
                <w:bCs/>
              </w:rPr>
              <w:t xml:space="preserve">Any notice given by one </w:t>
            </w:r>
            <w:r>
              <w:rPr>
                <w:bCs/>
              </w:rPr>
              <w:t>P</w:t>
            </w:r>
            <w:r w:rsidRPr="00237FCA">
              <w:rPr>
                <w:bCs/>
              </w:rPr>
              <w:t xml:space="preserve">arty to the other pursuant to the Contract shall be in writing to the address hereafter using the quickest </w:t>
            </w:r>
            <w:r>
              <w:rPr>
                <w:bCs/>
              </w:rPr>
              <w:t xml:space="preserve">available </w:t>
            </w:r>
            <w:r w:rsidRPr="00237FCA">
              <w:rPr>
                <w:bCs/>
              </w:rPr>
              <w:t>method such as electronic mail with proof of receipt.</w:t>
            </w:r>
          </w:p>
          <w:p w14:paraId="14F5AF5A" w14:textId="77777777" w:rsidR="005C137C" w:rsidRPr="00237FCA" w:rsidRDefault="005C137C" w:rsidP="005C137C">
            <w:pPr>
              <w:tabs>
                <w:tab w:val="right" w:pos="7164"/>
              </w:tabs>
              <w:spacing w:after="200" w:line="259" w:lineRule="auto"/>
              <w:ind w:left="704"/>
              <w:rPr>
                <w:bCs/>
              </w:rPr>
            </w:pPr>
            <w:r w:rsidRPr="00237FCA">
              <w:rPr>
                <w:bCs/>
              </w:rPr>
              <w:t>A notice shall be effective when delivered or on the notice’s effective date, whichever is later.</w:t>
            </w:r>
          </w:p>
          <w:p w14:paraId="3054DF6C" w14:textId="77777777" w:rsidR="005C137C" w:rsidRPr="00C233C7" w:rsidRDefault="005C137C" w:rsidP="005C137C">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Pr="00C233C7">
              <w:rPr>
                <w:b/>
              </w:rPr>
              <w:t>:</w:t>
            </w:r>
          </w:p>
          <w:p w14:paraId="430BEFE7" w14:textId="77777777" w:rsidR="005C137C" w:rsidRPr="00706BA5" w:rsidRDefault="005C137C" w:rsidP="005C137C">
            <w:pPr>
              <w:spacing w:before="80" w:after="80"/>
              <w:ind w:left="704"/>
              <w:rPr>
                <w:b/>
                <w:bCs/>
                <w:iCs/>
              </w:rPr>
            </w:pPr>
            <w:r w:rsidRPr="00706BA5">
              <w:rPr>
                <w:b/>
                <w:bCs/>
                <w:iCs/>
              </w:rPr>
              <w:t xml:space="preserve">Giorgi </w:t>
            </w:r>
            <w:proofErr w:type="spellStart"/>
            <w:r w:rsidRPr="00706BA5">
              <w:rPr>
                <w:b/>
                <w:bCs/>
                <w:iCs/>
              </w:rPr>
              <w:t>Tsotskolauri</w:t>
            </w:r>
            <w:proofErr w:type="spellEnd"/>
          </w:p>
          <w:p w14:paraId="3BFF3734" w14:textId="77777777" w:rsidR="005C137C" w:rsidRPr="00706BA5" w:rsidRDefault="005C137C" w:rsidP="005C137C">
            <w:pPr>
              <w:ind w:left="704"/>
              <w:rPr>
                <w:b/>
                <w:bCs/>
                <w:iCs/>
              </w:rPr>
            </w:pPr>
            <w:r w:rsidRPr="00706BA5">
              <w:rPr>
                <w:b/>
                <w:bCs/>
                <w:iCs/>
              </w:rPr>
              <w:t>Deputy Minister</w:t>
            </w:r>
          </w:p>
          <w:p w14:paraId="48F587E7" w14:textId="77777777" w:rsidR="005C137C" w:rsidRPr="00706BA5" w:rsidRDefault="005C137C" w:rsidP="005C137C">
            <w:pPr>
              <w:ind w:left="704"/>
              <w:rPr>
                <w:b/>
                <w:bCs/>
                <w:iCs/>
              </w:rPr>
            </w:pPr>
            <w:r>
              <w:rPr>
                <w:b/>
                <w:bCs/>
                <w:iCs/>
              </w:rPr>
              <w:t xml:space="preserve">144, Ak. Tsereteli </w:t>
            </w:r>
            <w:proofErr w:type="spellStart"/>
            <w:r>
              <w:rPr>
                <w:b/>
                <w:bCs/>
                <w:iCs/>
              </w:rPr>
              <w:t>ave.</w:t>
            </w:r>
            <w:proofErr w:type="spellEnd"/>
            <w:r>
              <w:rPr>
                <w:b/>
                <w:bCs/>
                <w:iCs/>
              </w:rPr>
              <w:t xml:space="preserve"> Tbilisi, Georgia</w:t>
            </w:r>
          </w:p>
          <w:p w14:paraId="0E6B83BC" w14:textId="77777777" w:rsidR="005C137C" w:rsidRPr="00706BA5" w:rsidRDefault="005C137C" w:rsidP="005C137C">
            <w:pPr>
              <w:spacing w:before="160" w:after="80"/>
              <w:ind w:left="704"/>
              <w:rPr>
                <w:b/>
                <w:bCs/>
                <w:iCs/>
              </w:rPr>
            </w:pPr>
            <w:r>
              <w:rPr>
                <w:b/>
                <w:bCs/>
                <w:iCs/>
              </w:rPr>
              <w:t>Info@moh.gov.ge</w:t>
            </w:r>
          </w:p>
          <w:p w14:paraId="4DA97C77" w14:textId="77777777" w:rsidR="005C137C" w:rsidRPr="00237FCA" w:rsidRDefault="005C137C" w:rsidP="005C137C">
            <w:pPr>
              <w:spacing w:before="160" w:after="80"/>
              <w:ind w:left="704"/>
              <w:rPr>
                <w:b/>
              </w:rPr>
            </w:pPr>
            <w:r w:rsidRPr="00237FCA">
              <w:rPr>
                <w:b/>
                <w:u w:val="single"/>
              </w:rPr>
              <w:t>Address for notices to the Supplier</w:t>
            </w:r>
            <w:r w:rsidRPr="00237FCA">
              <w:rPr>
                <w:b/>
              </w:rPr>
              <w:t>:</w:t>
            </w:r>
          </w:p>
          <w:p w14:paraId="7A18D1C5" w14:textId="77777777" w:rsidR="005C137C" w:rsidRPr="005C137C" w:rsidRDefault="005C137C" w:rsidP="005C137C">
            <w:pPr>
              <w:spacing w:before="80" w:after="80"/>
              <w:ind w:left="704"/>
              <w:rPr>
                <w:i/>
              </w:rPr>
            </w:pPr>
            <w:r w:rsidRPr="005C137C">
              <w:rPr>
                <w:i/>
              </w:rPr>
              <w:t xml:space="preserve">David </w:t>
            </w:r>
            <w:proofErr w:type="spellStart"/>
            <w:r w:rsidRPr="005C137C">
              <w:rPr>
                <w:i/>
              </w:rPr>
              <w:t>Chachiashvili</w:t>
            </w:r>
            <w:proofErr w:type="spellEnd"/>
          </w:p>
          <w:p w14:paraId="25346C07" w14:textId="77777777" w:rsidR="005C137C" w:rsidRPr="005C137C" w:rsidRDefault="005C137C" w:rsidP="005C137C">
            <w:pPr>
              <w:ind w:left="704"/>
              <w:rPr>
                <w:i/>
              </w:rPr>
            </w:pPr>
            <w:r w:rsidRPr="005C137C">
              <w:rPr>
                <w:i/>
              </w:rPr>
              <w:t>General Manager</w:t>
            </w:r>
          </w:p>
          <w:p w14:paraId="79FAC042" w14:textId="77777777" w:rsidR="005C137C" w:rsidRPr="005C137C" w:rsidRDefault="005C137C" w:rsidP="005C137C">
            <w:pPr>
              <w:ind w:left="704"/>
              <w:rPr>
                <w:i/>
              </w:rPr>
            </w:pPr>
            <w:proofErr w:type="spellStart"/>
            <w:r w:rsidRPr="005C137C">
              <w:rPr>
                <w:i/>
              </w:rPr>
              <w:t>Tskhneti</w:t>
            </w:r>
            <w:proofErr w:type="spellEnd"/>
            <w:r w:rsidRPr="005C137C">
              <w:rPr>
                <w:i/>
              </w:rPr>
              <w:t xml:space="preserve"> highway 15, </w:t>
            </w:r>
            <w:proofErr w:type="spellStart"/>
            <w:r w:rsidRPr="005C137C">
              <w:rPr>
                <w:i/>
              </w:rPr>
              <w:t>Bagebi</w:t>
            </w:r>
            <w:proofErr w:type="spellEnd"/>
            <w:r w:rsidRPr="005C137C">
              <w:rPr>
                <w:i/>
              </w:rPr>
              <w:t>, Tbilisi, Georgia</w:t>
            </w:r>
          </w:p>
          <w:p w14:paraId="55AA15DA" w14:textId="23AE9917" w:rsidR="005C137C" w:rsidRPr="00204315" w:rsidRDefault="005C137C" w:rsidP="005C137C">
            <w:pPr>
              <w:spacing w:after="120"/>
              <w:ind w:left="704"/>
              <w:rPr>
                <w:b/>
              </w:rPr>
            </w:pPr>
            <w:r>
              <w:rPr>
                <w:i/>
              </w:rPr>
              <w:t>david@vivagroup.ge</w:t>
            </w:r>
          </w:p>
        </w:tc>
      </w:tr>
      <w:tr w:rsidR="00E1320C" w:rsidRPr="00204315" w14:paraId="7C84C898" w14:textId="77777777" w:rsidTr="00CA0CC0">
        <w:tc>
          <w:tcPr>
            <w:tcW w:w="2515" w:type="dxa"/>
          </w:tcPr>
          <w:p w14:paraId="3E6BF5E5" w14:textId="77777777" w:rsidR="00E1320C" w:rsidRPr="00204315" w:rsidRDefault="00E1320C" w:rsidP="006F0749">
            <w:pPr>
              <w:pStyle w:val="COCgcc"/>
              <w:numPr>
                <w:ilvl w:val="0"/>
                <w:numId w:val="33"/>
              </w:numPr>
              <w:ind w:left="331"/>
            </w:pPr>
            <w:r w:rsidRPr="00204315">
              <w:lastRenderedPageBreak/>
              <w:t>Governing Law</w:t>
            </w:r>
          </w:p>
        </w:tc>
        <w:tc>
          <w:tcPr>
            <w:tcW w:w="6930" w:type="dxa"/>
          </w:tcPr>
          <w:p w14:paraId="4EC52762" w14:textId="3F82D250" w:rsidR="00E1320C" w:rsidRPr="00204315" w:rsidRDefault="00E1320C" w:rsidP="006F0749">
            <w:pPr>
              <w:pStyle w:val="CoCHeading1"/>
              <w:numPr>
                <w:ilvl w:val="1"/>
                <w:numId w:val="33"/>
              </w:numPr>
              <w:ind w:left="691" w:hanging="720"/>
              <w:jc w:val="both"/>
              <w:rPr>
                <w:b/>
              </w:rPr>
            </w:pPr>
            <w:r w:rsidRPr="00204315">
              <w:rPr>
                <w:i w:val="0"/>
              </w:rPr>
              <w:t>The Contract shall be governed by and interpreted in accordance with the laws of</w:t>
            </w:r>
            <w:r w:rsidRPr="00204315">
              <w:t xml:space="preserve"> </w:t>
            </w:r>
            <w:r w:rsidR="005C137C">
              <w:t>Georgia</w:t>
            </w:r>
          </w:p>
        </w:tc>
      </w:tr>
      <w:tr w:rsidR="00E1320C" w:rsidRPr="00204315" w14:paraId="079B3850" w14:textId="77777777" w:rsidTr="00CA0CC0">
        <w:tc>
          <w:tcPr>
            <w:tcW w:w="2515" w:type="dxa"/>
          </w:tcPr>
          <w:p w14:paraId="0D1061F0" w14:textId="77777777" w:rsidR="00E1320C" w:rsidRPr="00204315" w:rsidRDefault="00E1320C" w:rsidP="006F0749">
            <w:pPr>
              <w:pStyle w:val="COCgcc"/>
              <w:numPr>
                <w:ilvl w:val="0"/>
                <w:numId w:val="33"/>
              </w:numPr>
              <w:ind w:left="331"/>
            </w:pPr>
            <w:r w:rsidRPr="00204315">
              <w:t>Settlement of Disputes</w:t>
            </w:r>
          </w:p>
          <w:p w14:paraId="4889EB42" w14:textId="77777777" w:rsidR="00E1320C" w:rsidRPr="00204315" w:rsidRDefault="00E1320C" w:rsidP="00874AA4">
            <w:pPr>
              <w:rPr>
                <w:b/>
              </w:rPr>
            </w:pPr>
          </w:p>
        </w:tc>
        <w:tc>
          <w:tcPr>
            <w:tcW w:w="6930" w:type="dxa"/>
          </w:tcPr>
          <w:p w14:paraId="264D895B" w14:textId="06C37A84" w:rsidR="00E1320C" w:rsidRPr="00204315" w:rsidRDefault="00765C94" w:rsidP="00765C94">
            <w:pPr>
              <w:numPr>
                <w:ilvl w:val="1"/>
                <w:numId w:val="33"/>
              </w:numPr>
              <w:spacing w:after="200"/>
              <w:jc w:val="both"/>
            </w:pPr>
            <w:r>
              <w:t>In the case of a dispute between the Purchaser and a Supplier who is a national of the Purchaser’s Country, the dispute shall be referred to adjudication or arbitration in accordance with the laws of the Purchaser’s Country</w:t>
            </w:r>
          </w:p>
        </w:tc>
      </w:tr>
      <w:tr w:rsidR="00E1320C" w:rsidRPr="00204315" w14:paraId="4ACC5FF3" w14:textId="77777777" w:rsidTr="00CA0CC0">
        <w:tc>
          <w:tcPr>
            <w:tcW w:w="2515" w:type="dxa"/>
          </w:tcPr>
          <w:p w14:paraId="68CBF6C7" w14:textId="77777777" w:rsidR="00E1320C" w:rsidRPr="00204315" w:rsidRDefault="00E1320C" w:rsidP="006F0749">
            <w:pPr>
              <w:pStyle w:val="COCgcc"/>
              <w:numPr>
                <w:ilvl w:val="0"/>
                <w:numId w:val="33"/>
              </w:numPr>
              <w:ind w:left="331"/>
            </w:pPr>
            <w:r w:rsidRPr="00204315">
              <w:t>Shipping and other documents to be provided</w:t>
            </w:r>
          </w:p>
          <w:p w14:paraId="73C72674" w14:textId="77777777" w:rsidR="00E1320C" w:rsidRPr="00204315" w:rsidRDefault="00E1320C" w:rsidP="00874AA4"/>
        </w:tc>
        <w:tc>
          <w:tcPr>
            <w:tcW w:w="6930" w:type="dxa"/>
            <w:vAlign w:val="center"/>
          </w:tcPr>
          <w:p w14:paraId="3A1B1B24" w14:textId="14177523" w:rsidR="00E1320C" w:rsidRPr="00CA0CC0" w:rsidRDefault="00E1320C" w:rsidP="002E2367">
            <w:pPr>
              <w:pStyle w:val="CoCHeading1"/>
              <w:numPr>
                <w:ilvl w:val="1"/>
                <w:numId w:val="45"/>
              </w:numPr>
              <w:jc w:val="both"/>
              <w:rPr>
                <w:i w:val="0"/>
              </w:rPr>
            </w:pPr>
            <w:r w:rsidRPr="00CA0CC0">
              <w:rPr>
                <w:i w:val="0"/>
              </w:rPr>
              <w:t xml:space="preserve">The Delivery of the Goods and Completion of the Related Services </w:t>
            </w:r>
            <w:r w:rsidR="000F3986" w:rsidRPr="00CA0CC0">
              <w:rPr>
                <w:i w:val="0"/>
              </w:rPr>
              <w:t xml:space="preserve">as applicable </w:t>
            </w:r>
            <w:r w:rsidRPr="00CA0CC0">
              <w:rPr>
                <w:i w:val="0"/>
              </w:rPr>
              <w:t xml:space="preserve">shall be in accordance with the Delivery and Completion Schedule specified in the Schedule of Requirements. </w:t>
            </w:r>
          </w:p>
          <w:p w14:paraId="3CECF63E" w14:textId="78546BF0" w:rsidR="00E1320C" w:rsidRPr="002E2367" w:rsidRDefault="00E1320C" w:rsidP="00874AA4">
            <w:pPr>
              <w:spacing w:before="120" w:after="120"/>
              <w:ind w:left="704"/>
              <w:jc w:val="both"/>
              <w:rPr>
                <w:i/>
              </w:rPr>
            </w:pPr>
            <w:r w:rsidRPr="00CA0CC0">
              <w:t xml:space="preserve">Details of Shipping and other Documents to be furnished by the Supplier </w:t>
            </w:r>
            <w:proofErr w:type="gramStart"/>
            <w:r w:rsidRPr="00CA0CC0">
              <w:t>are:</w:t>
            </w:r>
            <w:proofErr w:type="gramEnd"/>
            <w:r w:rsidRPr="002E2367">
              <w:rPr>
                <w:i/>
              </w:rPr>
              <w:t xml:space="preserve"> insurance certificate, Manufacturer’s or Supplier’s warranty certificate, inspection certificate, </w:t>
            </w:r>
            <w:proofErr w:type="spellStart"/>
            <w:r w:rsidR="00765C94">
              <w:rPr>
                <w:i/>
              </w:rPr>
              <w:t>weighbill</w:t>
            </w:r>
            <w:proofErr w:type="spellEnd"/>
            <w:r w:rsidR="00765C94">
              <w:rPr>
                <w:i/>
              </w:rPr>
              <w:t>, invoice and packing list</w:t>
            </w:r>
            <w:r w:rsidRPr="002E2367">
              <w:rPr>
                <w:i/>
              </w:rPr>
              <w:t>.</w:t>
            </w:r>
          </w:p>
          <w:p w14:paraId="69AF6AE8" w14:textId="77777777" w:rsidR="00E1320C" w:rsidRPr="00CA0CC0" w:rsidRDefault="00E1320C" w:rsidP="00874AA4">
            <w:pPr>
              <w:spacing w:before="120" w:after="120"/>
              <w:ind w:left="704"/>
            </w:pPr>
            <w:r w:rsidRPr="00CA0CC0">
              <w:t>The above documents shall be received by the Purchaser:</w:t>
            </w:r>
          </w:p>
          <w:p w14:paraId="09A543F1" w14:textId="77777777" w:rsidR="00E1320C" w:rsidRPr="00CA0CC0" w:rsidRDefault="00E1320C" w:rsidP="00E1320C">
            <w:pPr>
              <w:numPr>
                <w:ilvl w:val="3"/>
                <w:numId w:val="3"/>
              </w:numPr>
              <w:spacing w:before="120" w:after="120"/>
              <w:ind w:left="1244" w:hanging="533"/>
              <w:jc w:val="both"/>
            </w:pPr>
            <w:r w:rsidRPr="00CA0CC0">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113AD311" w:rsidR="00E1320C" w:rsidRPr="00CA0CC0" w:rsidRDefault="00E1320C" w:rsidP="00E1320C">
            <w:pPr>
              <w:numPr>
                <w:ilvl w:val="3"/>
                <w:numId w:val="3"/>
              </w:numPr>
              <w:spacing w:before="120" w:after="120"/>
              <w:ind w:left="1244" w:hanging="533"/>
            </w:pPr>
            <w:r w:rsidRPr="00CA0CC0">
              <w:t>on shipment.</w:t>
            </w:r>
          </w:p>
        </w:tc>
      </w:tr>
      <w:tr w:rsidR="00E1320C" w:rsidRPr="00204315" w14:paraId="7BE6251A" w14:textId="77777777" w:rsidTr="00CA0CC0">
        <w:tc>
          <w:tcPr>
            <w:tcW w:w="2515" w:type="dxa"/>
          </w:tcPr>
          <w:p w14:paraId="1D89D521" w14:textId="77777777" w:rsidR="00E1320C" w:rsidRPr="00204315" w:rsidRDefault="00E1320C" w:rsidP="002E2367">
            <w:pPr>
              <w:pStyle w:val="COCgcc"/>
              <w:numPr>
                <w:ilvl w:val="0"/>
                <w:numId w:val="45"/>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77777777" w:rsidR="000F3986" w:rsidRPr="002E2367" w:rsidRDefault="000F3986" w:rsidP="002E2367">
            <w:pPr>
              <w:pStyle w:val="CoCHeading1"/>
              <w:numPr>
                <w:ilvl w:val="1"/>
                <w:numId w:val="45"/>
              </w:numPr>
              <w:ind w:left="691" w:hanging="720"/>
              <w:jc w:val="both"/>
              <w:rPr>
                <w:i w:val="0"/>
              </w:rPr>
            </w:pPr>
            <w:r w:rsidRPr="002E2367">
              <w:rPr>
                <w:i w:val="0"/>
              </w:rPr>
              <w:t>The Contract Price is specified in Price Schedule 4.</w:t>
            </w:r>
          </w:p>
          <w:p w14:paraId="71D462FB" w14:textId="4A5A5896" w:rsidR="00E1320C" w:rsidRPr="00204315" w:rsidRDefault="00E1320C" w:rsidP="002E2367">
            <w:pPr>
              <w:pStyle w:val="CoCHeading1"/>
              <w:numPr>
                <w:ilvl w:val="1"/>
                <w:numId w:val="45"/>
              </w:numPr>
              <w:ind w:left="691" w:hanging="720"/>
              <w:jc w:val="both"/>
            </w:pPr>
            <w:r w:rsidRPr="00204315">
              <w:rPr>
                <w:i w:val="0"/>
              </w:rPr>
              <w:t xml:space="preserve">The unit Prices charged by the Supplier for the Goods supplied and the Related Services </w:t>
            </w:r>
            <w:r w:rsidR="000F3986" w:rsidRPr="00204315">
              <w:rPr>
                <w:i w:val="0"/>
              </w:rPr>
              <w:t xml:space="preserve">as applicable </w:t>
            </w:r>
            <w:r w:rsidRPr="00204315">
              <w:rPr>
                <w:i w:val="0"/>
              </w:rPr>
              <w:t>performed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2E2367">
            <w:pPr>
              <w:pStyle w:val="COCgcc"/>
              <w:numPr>
                <w:ilvl w:val="0"/>
                <w:numId w:val="45"/>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2E2367">
            <w:pPr>
              <w:pStyle w:val="CoCHeading1"/>
              <w:numPr>
                <w:ilvl w:val="1"/>
                <w:numId w:val="45"/>
              </w:numPr>
              <w:ind w:left="691" w:hanging="720"/>
              <w:jc w:val="both"/>
              <w:rPr>
                <w:i w:val="0"/>
              </w:rPr>
            </w:pPr>
            <w:r w:rsidRPr="00204315">
              <w:rPr>
                <w:i w:val="0"/>
              </w:rPr>
              <w:t>The method and conditions of payment to be made to the Supplier under this Contract shall be as follows:</w:t>
            </w:r>
          </w:p>
          <w:p w14:paraId="72E9520E" w14:textId="36B1F9A0" w:rsidR="00E1320C" w:rsidRPr="00204315" w:rsidRDefault="00E1320C" w:rsidP="00874AA4">
            <w:pPr>
              <w:suppressAutoHyphens/>
              <w:spacing w:after="220"/>
              <w:ind w:left="704" w:firstLine="7"/>
              <w:jc w:val="both"/>
              <w:rPr>
                <w:b/>
              </w:rPr>
            </w:pPr>
            <w:r w:rsidRPr="00204315">
              <w:rPr>
                <w:b/>
                <w:bCs/>
                <w:iCs/>
                <w:spacing w:val="-2"/>
              </w:rPr>
              <w:t xml:space="preserve">The Purchaser </w:t>
            </w:r>
            <w:r w:rsidR="00765C94">
              <w:rPr>
                <w:b/>
                <w:bCs/>
                <w:i/>
                <w:iCs/>
                <w:spacing w:val="-2"/>
              </w:rPr>
              <w:t>shall</w:t>
            </w:r>
            <w:r w:rsidRPr="00204315">
              <w:rPr>
                <w:b/>
                <w:bCs/>
                <w:iCs/>
                <w:spacing w:val="-2"/>
              </w:rPr>
              <w:t xml:space="preserve"> process the payments using the Direct Payment disbursement method, as defined in the World Bank’s Disbursement Guidelines for Investment Project Financing.</w:t>
            </w:r>
          </w:p>
          <w:p w14:paraId="7BFDD580" w14:textId="40F1471F" w:rsidR="00E1320C" w:rsidRPr="00204315" w:rsidRDefault="00E1320C" w:rsidP="00874AA4">
            <w:pPr>
              <w:suppressAutoHyphens/>
              <w:spacing w:after="120"/>
              <w:ind w:left="704" w:firstLine="7"/>
              <w:jc w:val="both"/>
              <w:rPr>
                <w:b/>
              </w:rPr>
            </w:pPr>
            <w:r w:rsidRPr="00204315">
              <w:rPr>
                <w:b/>
              </w:rPr>
              <w:t>Payment for Goods supplied from abroad:</w:t>
            </w:r>
          </w:p>
          <w:p w14:paraId="7922207F" w14:textId="7EF21C4F" w:rsidR="00E1320C" w:rsidRPr="00204315" w:rsidRDefault="00E1320C" w:rsidP="00874AA4">
            <w:pPr>
              <w:tabs>
                <w:tab w:val="left" w:pos="7047"/>
              </w:tabs>
              <w:suppressAutoHyphens/>
              <w:spacing w:after="120"/>
              <w:ind w:left="704" w:firstLine="7"/>
              <w:jc w:val="both"/>
            </w:pPr>
            <w:r w:rsidRPr="00204315">
              <w:t xml:space="preserve">Payment of foreign currency portion shall be made in </w:t>
            </w:r>
            <w:r w:rsidR="00765C94">
              <w:t>USD</w:t>
            </w:r>
            <w:r w:rsidRPr="00204315">
              <w:t xml:space="preserve"> </w:t>
            </w:r>
            <w:r w:rsidRPr="00204315">
              <w:rPr>
                <w:i/>
              </w:rPr>
              <w:t>[currency of the Contract Price]</w:t>
            </w:r>
            <w:r w:rsidRPr="00204315">
              <w:t xml:space="preserve"> in the following manner:</w:t>
            </w:r>
          </w:p>
          <w:tbl>
            <w:tblPr>
              <w:tblW w:w="0" w:type="auto"/>
              <w:tblBorders>
                <w:top w:val="nil"/>
                <w:left w:val="nil"/>
                <w:bottom w:val="nil"/>
                <w:right w:val="nil"/>
              </w:tblBorders>
              <w:tblLook w:val="0000" w:firstRow="0" w:lastRow="0" w:firstColumn="0" w:lastColumn="0" w:noHBand="0" w:noVBand="0"/>
            </w:tblPr>
            <w:tblGrid>
              <w:gridCol w:w="6714"/>
            </w:tblGrid>
            <w:tr w:rsidR="00765C94" w:rsidRPr="00765C94" w14:paraId="6B76AC67" w14:textId="77777777">
              <w:tblPrEx>
                <w:tblCellMar>
                  <w:top w:w="0" w:type="dxa"/>
                  <w:bottom w:w="0" w:type="dxa"/>
                </w:tblCellMar>
              </w:tblPrEx>
              <w:trPr>
                <w:trHeight w:val="856"/>
              </w:trPr>
              <w:tc>
                <w:tcPr>
                  <w:tcW w:w="0" w:type="auto"/>
                </w:tcPr>
                <w:p w14:paraId="407F4FAC" w14:textId="4993BCBA" w:rsidR="00765C94" w:rsidRPr="00765C94" w:rsidRDefault="00765C94" w:rsidP="00765C94">
                  <w:pPr>
                    <w:pStyle w:val="ListParagraph"/>
                    <w:numPr>
                      <w:ilvl w:val="3"/>
                      <w:numId w:val="5"/>
                    </w:numPr>
                    <w:tabs>
                      <w:tab w:val="clear" w:pos="1901"/>
                    </w:tabs>
                    <w:suppressAutoHyphens/>
                    <w:spacing w:after="120"/>
                    <w:ind w:left="1154" w:hanging="517"/>
                    <w:jc w:val="both"/>
                    <w:rPr>
                      <w:b/>
                    </w:rPr>
                  </w:pPr>
                  <w:r w:rsidRPr="00765C94">
                    <w:rPr>
                      <w:b/>
                    </w:rPr>
                    <w:t xml:space="preserve"> </w:t>
                  </w:r>
                  <w:r w:rsidRPr="00765C94">
                    <w:rPr>
                      <w:b/>
                      <w:bCs/>
                    </w:rPr>
                    <w:t xml:space="preserve">Advance Payment: </w:t>
                  </w:r>
                </w:p>
                <w:p w14:paraId="6F203E91" w14:textId="77777777" w:rsidR="00765C94" w:rsidRPr="00765C94" w:rsidRDefault="00765C94" w:rsidP="00765C94">
                  <w:pPr>
                    <w:pStyle w:val="ListParagraph"/>
                    <w:suppressAutoHyphens/>
                    <w:spacing w:after="120"/>
                    <w:ind w:left="1154"/>
                    <w:jc w:val="both"/>
                    <w:rPr>
                      <w:b/>
                    </w:rPr>
                  </w:pPr>
                </w:p>
                <w:p w14:paraId="430D2CA6" w14:textId="77777777" w:rsidR="00765C94" w:rsidRPr="00765C94" w:rsidRDefault="00765C94" w:rsidP="00765C94">
                  <w:pPr>
                    <w:pStyle w:val="ListParagraph"/>
                    <w:suppressAutoHyphens/>
                    <w:spacing w:after="120"/>
                    <w:ind w:left="1154"/>
                    <w:jc w:val="both"/>
                    <w:rPr>
                      <w:b/>
                    </w:rPr>
                  </w:pPr>
                  <w:r w:rsidRPr="00765C94">
                    <w:rPr>
                      <w:b/>
                      <w:i/>
                      <w:iCs/>
                    </w:rPr>
                    <w:t xml:space="preserve">Thirty (30) percent of the Contract Price shall be paid within ten (10) days of signing of the Contract and upon submission of claim and a bank demand guarantee, in the form provided in the request for invitation for direct contracting or another form </w:t>
                  </w:r>
                  <w:r w:rsidRPr="00765C94">
                    <w:rPr>
                      <w:b/>
                      <w:i/>
                      <w:iCs/>
                    </w:rPr>
                    <w:lastRenderedPageBreak/>
                    <w:t xml:space="preserve">acceptable to the Purchaser, for equivalent amount valid until </w:t>
                  </w:r>
                </w:p>
              </w:tc>
            </w:tr>
          </w:tbl>
          <w:p w14:paraId="4C331745" w14:textId="77777777" w:rsidR="00765C94" w:rsidRDefault="00765C94" w:rsidP="00765C94">
            <w:pPr>
              <w:spacing w:after="120"/>
              <w:jc w:val="both"/>
            </w:pPr>
            <w:r>
              <w:lastRenderedPageBreak/>
              <w:t>(ii) On Acceptance: Ninety (90) percent of the Price of the corresponding period shall be paid within fifteen (15) days of receipt of the all the Goods of that period upon submission of claim supported by the acceptance certificate issued by the Purchaser.</w:t>
            </w:r>
          </w:p>
          <w:p w14:paraId="35D51A70" w14:textId="5F10889B" w:rsidR="00E1320C" w:rsidRPr="00204315" w:rsidRDefault="00765C94" w:rsidP="00765C94">
            <w:pPr>
              <w:spacing w:after="120"/>
              <w:jc w:val="both"/>
            </w:pPr>
            <w:r>
              <w:t xml:space="preserve">Payment of local currency portion shall be made in Georgian </w:t>
            </w:r>
            <w:proofErr w:type="spellStart"/>
            <w:r>
              <w:t>Lari</w:t>
            </w:r>
            <w:proofErr w:type="spellEnd"/>
            <w:r>
              <w:t xml:space="preserve"> within fifteen (15) days of presentation of claim supported by a certificate from the Purchaser declaring that the Goods have been delivered and that all other contracted services have been performed.</w:t>
            </w:r>
          </w:p>
        </w:tc>
      </w:tr>
      <w:tr w:rsidR="00E1320C" w:rsidRPr="00204315" w14:paraId="00995ABF" w14:textId="77777777" w:rsidTr="00CA0CC0">
        <w:tc>
          <w:tcPr>
            <w:tcW w:w="2515" w:type="dxa"/>
          </w:tcPr>
          <w:p w14:paraId="563E35B3" w14:textId="77777777" w:rsidR="00E1320C" w:rsidRPr="00204315" w:rsidRDefault="00E1320C" w:rsidP="002E2367">
            <w:pPr>
              <w:pStyle w:val="COCgcc"/>
              <w:numPr>
                <w:ilvl w:val="0"/>
                <w:numId w:val="45"/>
              </w:numPr>
              <w:ind w:left="331"/>
            </w:pPr>
            <w:r w:rsidRPr="00204315">
              <w:lastRenderedPageBreak/>
              <w:t>Taxes and Duties</w:t>
            </w:r>
          </w:p>
        </w:tc>
        <w:tc>
          <w:tcPr>
            <w:tcW w:w="6930" w:type="dxa"/>
            <w:vAlign w:val="center"/>
          </w:tcPr>
          <w:p w14:paraId="2B9F0924" w14:textId="77777777" w:rsidR="00E1320C" w:rsidRPr="00204315" w:rsidRDefault="00E1320C" w:rsidP="002E2367">
            <w:pPr>
              <w:pStyle w:val="CoCHeading1"/>
              <w:numPr>
                <w:ilvl w:val="1"/>
                <w:numId w:val="45"/>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2E2367">
            <w:pPr>
              <w:pStyle w:val="CoCHeading1"/>
              <w:numPr>
                <w:ilvl w:val="1"/>
                <w:numId w:val="45"/>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2E2367">
            <w:pPr>
              <w:pStyle w:val="CoCHeading1"/>
              <w:numPr>
                <w:ilvl w:val="1"/>
                <w:numId w:val="45"/>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2E2367">
            <w:pPr>
              <w:pStyle w:val="COCgcc"/>
              <w:numPr>
                <w:ilvl w:val="0"/>
                <w:numId w:val="45"/>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4130BD16" w14:textId="01C0576D" w:rsidR="00E1320C" w:rsidRPr="00765C94" w:rsidRDefault="00765C94" w:rsidP="00874AA4">
            <w:pPr>
              <w:pStyle w:val="Sub-ClauseText"/>
              <w:spacing w:before="0" w:after="200"/>
              <w:ind w:left="704"/>
              <w:rPr>
                <w:rFonts w:asciiTheme="minorHAnsi" w:hAnsiTheme="minorHAnsi"/>
                <w:spacing w:val="0"/>
              </w:rPr>
            </w:pPr>
            <w:r>
              <w:rPr>
                <w:rFonts w:asciiTheme="minorHAnsi" w:hAnsiTheme="minorHAnsi"/>
                <w:spacing w:val="0"/>
                <w:lang w:val="ka-GE"/>
              </w:rPr>
              <w:t>N/</w:t>
            </w:r>
            <w:r>
              <w:rPr>
                <w:rFonts w:asciiTheme="minorHAnsi" w:hAnsiTheme="minorHAnsi"/>
                <w:spacing w:val="0"/>
              </w:rPr>
              <w:t>A</w:t>
            </w:r>
          </w:p>
          <w:p w14:paraId="05D2BE93" w14:textId="68EDC6B3" w:rsidR="00E1320C" w:rsidRPr="00204315" w:rsidRDefault="00E1320C" w:rsidP="00874AA4">
            <w:pPr>
              <w:tabs>
                <w:tab w:val="right" w:pos="7164"/>
              </w:tabs>
              <w:spacing w:after="120"/>
              <w:ind w:left="704"/>
              <w:jc w:val="both"/>
            </w:pPr>
          </w:p>
        </w:tc>
      </w:tr>
      <w:tr w:rsidR="00E1320C" w:rsidRPr="00204315" w14:paraId="51705A05" w14:textId="77777777" w:rsidTr="00CA0CC0">
        <w:tc>
          <w:tcPr>
            <w:tcW w:w="2515" w:type="dxa"/>
          </w:tcPr>
          <w:p w14:paraId="0B4770D7" w14:textId="77777777" w:rsidR="00E1320C" w:rsidRPr="00204315" w:rsidRDefault="00E1320C" w:rsidP="002E2367">
            <w:pPr>
              <w:pStyle w:val="COCgcc"/>
              <w:numPr>
                <w:ilvl w:val="0"/>
                <w:numId w:val="45"/>
              </w:numPr>
              <w:ind w:left="331"/>
            </w:pPr>
            <w:r w:rsidRPr="00204315">
              <w:t>Subcontractors</w:t>
            </w:r>
          </w:p>
        </w:tc>
        <w:tc>
          <w:tcPr>
            <w:tcW w:w="6930" w:type="dxa"/>
            <w:vAlign w:val="center"/>
          </w:tcPr>
          <w:p w14:paraId="4EC0B1C3" w14:textId="78F29009" w:rsidR="00E1320C" w:rsidRPr="00204315" w:rsidRDefault="00E1320C" w:rsidP="002E2367">
            <w:pPr>
              <w:pStyle w:val="CoCHeading1"/>
              <w:numPr>
                <w:ilvl w:val="1"/>
                <w:numId w:val="45"/>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2E2367">
            <w:pPr>
              <w:pStyle w:val="COCgcc"/>
              <w:numPr>
                <w:ilvl w:val="0"/>
                <w:numId w:val="45"/>
              </w:numPr>
              <w:ind w:left="331"/>
            </w:pPr>
            <w:r w:rsidRPr="00204315">
              <w:t>Specifications and Standards</w:t>
            </w:r>
          </w:p>
        </w:tc>
        <w:tc>
          <w:tcPr>
            <w:tcW w:w="6930" w:type="dxa"/>
            <w:vAlign w:val="center"/>
          </w:tcPr>
          <w:p w14:paraId="00BF77D1" w14:textId="6E953D27" w:rsidR="00E1320C" w:rsidRPr="00204315" w:rsidRDefault="00E1320C" w:rsidP="002E2367">
            <w:pPr>
              <w:pStyle w:val="CoCHeading1"/>
              <w:numPr>
                <w:ilvl w:val="1"/>
                <w:numId w:val="45"/>
              </w:numPr>
              <w:ind w:left="691" w:hanging="720"/>
              <w:jc w:val="both"/>
            </w:pPr>
            <w:r w:rsidRPr="00204315">
              <w:rPr>
                <w:i w:val="0"/>
              </w:rPr>
              <w:t xml:space="preserve">The Goods and Related Services </w:t>
            </w:r>
            <w:r w:rsidR="000F3986" w:rsidRPr="00204315">
              <w:rPr>
                <w:i w:val="0"/>
              </w:rPr>
              <w:t xml:space="preserve">if applicable </w:t>
            </w:r>
            <w:r w:rsidRPr="00204315">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2E2367">
            <w:pPr>
              <w:pStyle w:val="COCgcc"/>
              <w:numPr>
                <w:ilvl w:val="0"/>
                <w:numId w:val="45"/>
              </w:numPr>
              <w:ind w:left="331"/>
            </w:pPr>
            <w:r w:rsidRPr="00204315">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2E2367">
            <w:pPr>
              <w:pStyle w:val="CoCHeading1"/>
              <w:numPr>
                <w:ilvl w:val="1"/>
                <w:numId w:val="45"/>
              </w:numPr>
              <w:ind w:left="691" w:hanging="720"/>
              <w:jc w:val="both"/>
              <w:rPr>
                <w:i w:val="0"/>
              </w:rPr>
            </w:pPr>
            <w:r w:rsidRPr="00204315">
              <w:rPr>
                <w:i w:val="0"/>
              </w:rPr>
              <w:lastRenderedPageBreak/>
              <w:t xml:space="preserve">The Supplier shall provide such packing of the Goods as is required to prevent their damage or deterioration during transit to their final destination, as indicated in the Contract. During transit, the packing shall be sufficient to withstand, without </w:t>
            </w:r>
            <w:r w:rsidRPr="00204315">
              <w:rPr>
                <w:i w:val="0"/>
              </w:rPr>
              <w:lastRenderedPageBreak/>
              <w:t>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0688E9B" w:rsidR="00E1320C" w:rsidRPr="00204315" w:rsidRDefault="00E1320C" w:rsidP="002E2367">
            <w:pPr>
              <w:pStyle w:val="CoCHeading1"/>
              <w:numPr>
                <w:ilvl w:val="1"/>
                <w:numId w:val="45"/>
              </w:numPr>
              <w:ind w:left="691" w:hanging="720"/>
              <w:jc w:val="both"/>
              <w:rPr>
                <w:i w:val="0"/>
              </w:rPr>
            </w:pPr>
            <w:r w:rsidRPr="00204315">
              <w:rPr>
                <w:i w:val="0"/>
              </w:rPr>
              <w:t xml:space="preserve">The packing, marking and documentation within and outside the packages shall </w:t>
            </w:r>
            <w:proofErr w:type="gramStart"/>
            <w:r w:rsidRPr="00204315">
              <w:rPr>
                <w:i w:val="0"/>
              </w:rPr>
              <w:t>be:</w:t>
            </w:r>
            <w:proofErr w:type="gramEnd"/>
            <w:r w:rsidRPr="00204315">
              <w:rPr>
                <w:i w:val="0"/>
              </w:rPr>
              <w:t xml:space="preserve"> </w:t>
            </w:r>
            <w:r w:rsidRPr="00204315">
              <w:rPr>
                <w:b/>
              </w:rPr>
              <w:t>refer to the Technical Specifications</w:t>
            </w:r>
            <w:r w:rsidRPr="00204315">
              <w:t xml:space="preserve">]  </w:t>
            </w:r>
          </w:p>
        </w:tc>
      </w:tr>
      <w:tr w:rsidR="00E1320C" w:rsidRPr="00204315" w14:paraId="1FE43E22" w14:textId="77777777" w:rsidTr="00CA0CC0">
        <w:tc>
          <w:tcPr>
            <w:tcW w:w="2515" w:type="dxa"/>
          </w:tcPr>
          <w:p w14:paraId="5E65D34D" w14:textId="77777777" w:rsidR="00E1320C" w:rsidRPr="00204315" w:rsidRDefault="00E1320C" w:rsidP="002E2367">
            <w:pPr>
              <w:pStyle w:val="COCgcc"/>
              <w:numPr>
                <w:ilvl w:val="0"/>
                <w:numId w:val="45"/>
              </w:numPr>
              <w:ind w:left="331"/>
            </w:pPr>
            <w:r w:rsidRPr="00204315">
              <w:lastRenderedPageBreak/>
              <w:t>Insurance cover</w:t>
            </w:r>
          </w:p>
          <w:p w14:paraId="036809B1" w14:textId="77777777" w:rsidR="00E1320C" w:rsidRPr="00204315" w:rsidRDefault="00E1320C" w:rsidP="00874AA4">
            <w:pPr>
              <w:pStyle w:val="ListParagraph"/>
              <w:spacing w:before="120"/>
              <w:rPr>
                <w:b/>
              </w:rPr>
            </w:pPr>
          </w:p>
          <w:p w14:paraId="4948812D" w14:textId="77777777" w:rsidR="00E1320C" w:rsidRPr="00204315" w:rsidRDefault="00E1320C" w:rsidP="00874AA4"/>
        </w:tc>
        <w:tc>
          <w:tcPr>
            <w:tcW w:w="6930" w:type="dxa"/>
          </w:tcPr>
          <w:p w14:paraId="2332340D" w14:textId="241B34DC" w:rsidR="006E0FC3" w:rsidRPr="00204315" w:rsidRDefault="00E1320C" w:rsidP="006E0FC3">
            <w:pPr>
              <w:pStyle w:val="CoCHeading1"/>
              <w:numPr>
                <w:ilvl w:val="1"/>
                <w:numId w:val="45"/>
              </w:numPr>
              <w:ind w:left="691" w:hanging="720"/>
              <w:jc w:val="both"/>
            </w:pPr>
            <w:r w:rsidRPr="00204315">
              <w:rPr>
                <w:b/>
              </w:rPr>
              <w:t>The insurance coverage shall be as specified in the Incoterms.</w:t>
            </w:r>
            <w:r w:rsidR="007A0123" w:rsidRPr="00204315">
              <w:rPr>
                <w:b/>
              </w:rPr>
              <w:t xml:space="preserve"> </w:t>
            </w:r>
          </w:p>
          <w:p w14:paraId="5803ABD7" w14:textId="1FA1B9B5" w:rsidR="00E1320C" w:rsidRPr="00204315" w:rsidRDefault="00E1320C" w:rsidP="00CA0CC0">
            <w:pPr>
              <w:spacing w:before="120" w:after="120"/>
              <w:ind w:left="704"/>
              <w:jc w:val="both"/>
            </w:pPr>
          </w:p>
        </w:tc>
      </w:tr>
      <w:tr w:rsidR="00E1320C" w:rsidRPr="00204315" w14:paraId="3889C1CD" w14:textId="77777777" w:rsidTr="00CA0CC0">
        <w:tc>
          <w:tcPr>
            <w:tcW w:w="2515" w:type="dxa"/>
          </w:tcPr>
          <w:p w14:paraId="12306ED4" w14:textId="77777777" w:rsidR="00E1320C" w:rsidRPr="00204315" w:rsidRDefault="00E1320C" w:rsidP="002E2367">
            <w:pPr>
              <w:pStyle w:val="COCgcc"/>
              <w:numPr>
                <w:ilvl w:val="0"/>
                <w:numId w:val="45"/>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2E2367">
            <w:pPr>
              <w:pStyle w:val="CoCHeading1"/>
              <w:numPr>
                <w:ilvl w:val="1"/>
                <w:numId w:val="45"/>
              </w:numPr>
              <w:ind w:left="691" w:hanging="720"/>
              <w:jc w:val="both"/>
              <w:rPr>
                <w:i w:val="0"/>
              </w:rPr>
            </w:pPr>
            <w:r w:rsidRPr="00204315">
              <w:rPr>
                <w:i w:val="0"/>
              </w:rPr>
              <w:t xml:space="preserve">Responsibility for transportation of the Goods shall be as specified in the Incoterms. </w:t>
            </w:r>
          </w:p>
          <w:p w14:paraId="14DE8B11" w14:textId="7F04C144" w:rsidR="00E1320C" w:rsidRPr="00204315" w:rsidRDefault="00E1320C" w:rsidP="00874AA4">
            <w:pPr>
              <w:spacing w:after="200"/>
              <w:ind w:left="608"/>
            </w:pPr>
            <w:r w:rsidRPr="00204315">
              <w:t>Mode of Transport: 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2E2367">
            <w:pPr>
              <w:pStyle w:val="COCgcc"/>
              <w:numPr>
                <w:ilvl w:val="0"/>
                <w:numId w:val="45"/>
              </w:numPr>
              <w:ind w:left="331"/>
            </w:pPr>
            <w:r w:rsidRPr="00204315">
              <w:t>Site of inspections and tests</w:t>
            </w:r>
          </w:p>
        </w:tc>
        <w:tc>
          <w:tcPr>
            <w:tcW w:w="6930" w:type="dxa"/>
          </w:tcPr>
          <w:p w14:paraId="04E2E868" w14:textId="32A210BA" w:rsidR="00E1320C" w:rsidRPr="00204315" w:rsidRDefault="00E1320C" w:rsidP="002E2367">
            <w:pPr>
              <w:pStyle w:val="CoCHeading1"/>
              <w:numPr>
                <w:ilvl w:val="1"/>
                <w:numId w:val="45"/>
              </w:numPr>
              <w:ind w:left="691" w:hanging="720"/>
              <w:jc w:val="both"/>
            </w:pPr>
            <w:r w:rsidRPr="00204315">
              <w:rPr>
                <w:i w:val="0"/>
              </w:rPr>
              <w:t xml:space="preserve">The </w:t>
            </w:r>
            <w:r w:rsidR="002043CA" w:rsidRPr="00204315">
              <w:rPr>
                <w:i w:val="0"/>
              </w:rPr>
              <w:t>i</w:t>
            </w:r>
            <w:r w:rsidRPr="00204315">
              <w:rPr>
                <w:i w:val="0"/>
              </w:rPr>
              <w:t>nspections and tests shall be conducted at</w:t>
            </w:r>
            <w:r w:rsidR="006E0FC3">
              <w:rPr>
                <w:i w:val="0"/>
              </w:rPr>
              <w:t xml:space="preserve">: </w:t>
            </w:r>
            <w:r w:rsidR="006E0FC3" w:rsidRPr="00914BCB">
              <w:rPr>
                <w:b/>
                <w:bCs w:val="0"/>
                <w:i w:val="0"/>
                <w:iCs/>
              </w:rPr>
              <w:t xml:space="preserve">118, Ak. Tsereteli </w:t>
            </w:r>
            <w:proofErr w:type="spellStart"/>
            <w:r w:rsidR="006E0FC3" w:rsidRPr="00914BCB">
              <w:rPr>
                <w:b/>
                <w:bCs w:val="0"/>
                <w:i w:val="0"/>
                <w:iCs/>
              </w:rPr>
              <w:t>ave</w:t>
            </w:r>
            <w:proofErr w:type="spellEnd"/>
            <w:r w:rsidR="006E0FC3" w:rsidRPr="00914BCB">
              <w:rPr>
                <w:b/>
                <w:bCs w:val="0"/>
                <w:i w:val="0"/>
                <w:iCs/>
              </w:rPr>
              <w:t>, Tbilisi, Georgia</w:t>
            </w:r>
          </w:p>
        </w:tc>
      </w:tr>
      <w:tr w:rsidR="00E1320C" w:rsidRPr="00204315" w14:paraId="6224B8E0" w14:textId="77777777" w:rsidTr="00CA0CC0">
        <w:tc>
          <w:tcPr>
            <w:tcW w:w="2515" w:type="dxa"/>
          </w:tcPr>
          <w:p w14:paraId="1B417B8A" w14:textId="77777777" w:rsidR="00E1320C" w:rsidRPr="00204315" w:rsidRDefault="00E1320C" w:rsidP="002E2367">
            <w:pPr>
              <w:pStyle w:val="COCgcc"/>
              <w:numPr>
                <w:ilvl w:val="0"/>
                <w:numId w:val="45"/>
              </w:numPr>
              <w:ind w:left="331"/>
            </w:pPr>
            <w:r w:rsidRPr="00204315">
              <w:t xml:space="preserve">Delivery Date and Completion Date </w:t>
            </w:r>
          </w:p>
        </w:tc>
        <w:tc>
          <w:tcPr>
            <w:tcW w:w="6930" w:type="dxa"/>
            <w:vAlign w:val="center"/>
          </w:tcPr>
          <w:p w14:paraId="598A27D2" w14:textId="77777777" w:rsidR="006E0FC3" w:rsidRPr="006E0FC3" w:rsidRDefault="007A0123" w:rsidP="006E0FC3">
            <w:pPr>
              <w:pStyle w:val="CoCHeading1"/>
              <w:numPr>
                <w:ilvl w:val="1"/>
                <w:numId w:val="45"/>
              </w:numPr>
              <w:jc w:val="both"/>
              <w:rPr>
                <w:i w:val="0"/>
              </w:rPr>
            </w:pPr>
            <w:r w:rsidRPr="00CA0CC0">
              <w:rPr>
                <w:i w:val="0"/>
              </w:rPr>
              <w:t>Goods from abroad: Incoterm CIP</w:t>
            </w:r>
            <w:r w:rsidRPr="00CA0CC0">
              <w:t xml:space="preserve"> (</w:t>
            </w:r>
            <w:r w:rsidR="006E0FC3">
              <w:t>Tbilisi, Georgia)</w:t>
            </w:r>
          </w:p>
          <w:p w14:paraId="039CF182" w14:textId="7DCA6B7A" w:rsidR="006E0FC3" w:rsidRPr="006E0FC3" w:rsidRDefault="006E0FC3" w:rsidP="006E0FC3">
            <w:pPr>
              <w:pStyle w:val="CoCHeading1"/>
              <w:numPr>
                <w:ilvl w:val="0"/>
                <w:numId w:val="0"/>
              </w:numPr>
              <w:ind w:left="331"/>
              <w:jc w:val="both"/>
              <w:rPr>
                <w:i w:val="0"/>
              </w:rPr>
            </w:pPr>
            <w:r w:rsidRPr="006E0FC3">
              <w:rPr>
                <w:i w:val="0"/>
              </w:rPr>
              <w:t>The Delivery Date of the Goods shall be:</w:t>
            </w:r>
          </w:p>
          <w:p w14:paraId="36E9BB67" w14:textId="77777777" w:rsidR="006E0FC3" w:rsidRPr="006E0FC3" w:rsidRDefault="006E0FC3" w:rsidP="006E0FC3">
            <w:pPr>
              <w:pStyle w:val="CoCHeading1"/>
              <w:numPr>
                <w:ilvl w:val="0"/>
                <w:numId w:val="0"/>
              </w:numPr>
              <w:ind w:left="331"/>
              <w:jc w:val="both"/>
              <w:rPr>
                <w:i w:val="0"/>
              </w:rPr>
            </w:pPr>
            <w:r w:rsidRPr="006E0FC3">
              <w:rPr>
                <w:i w:val="0"/>
              </w:rPr>
              <w:t>Period-1: From 16.06.2020 to 23.06.2020;</w:t>
            </w:r>
          </w:p>
          <w:p w14:paraId="3FC73A95" w14:textId="77777777" w:rsidR="006E0FC3" w:rsidRPr="006E0FC3" w:rsidRDefault="006E0FC3" w:rsidP="006E0FC3">
            <w:pPr>
              <w:pStyle w:val="CoCHeading1"/>
              <w:numPr>
                <w:ilvl w:val="0"/>
                <w:numId w:val="0"/>
              </w:numPr>
              <w:ind w:left="331"/>
              <w:jc w:val="both"/>
              <w:rPr>
                <w:i w:val="0"/>
              </w:rPr>
            </w:pPr>
            <w:r w:rsidRPr="006E0FC3">
              <w:rPr>
                <w:i w:val="0"/>
              </w:rPr>
              <w:t>Period-2: From 30.06.2020 to 07.07.2020;</w:t>
            </w:r>
          </w:p>
          <w:p w14:paraId="010C9CFD" w14:textId="6936A770" w:rsidR="007A0123" w:rsidRPr="00204315" w:rsidRDefault="006E0FC3" w:rsidP="006E0FC3">
            <w:pPr>
              <w:pStyle w:val="CoCHeading1"/>
              <w:numPr>
                <w:ilvl w:val="0"/>
                <w:numId w:val="0"/>
              </w:numPr>
              <w:ind w:left="331"/>
              <w:jc w:val="both"/>
            </w:pPr>
            <w:r w:rsidRPr="006E0FC3">
              <w:rPr>
                <w:i w:val="0"/>
              </w:rPr>
              <w:t>Period-3: From 12.08.2020 - to 20.08.2020</w:t>
            </w:r>
            <w:r w:rsidRPr="006E0FC3">
              <w:rPr>
                <w:i w:val="0"/>
              </w:rPr>
              <w:t xml:space="preserve"> </w:t>
            </w:r>
          </w:p>
          <w:p w14:paraId="6E58DD0A" w14:textId="368BBF4B" w:rsidR="00E1320C" w:rsidRPr="00204315" w:rsidRDefault="00E1320C" w:rsidP="002E2367">
            <w:pPr>
              <w:pStyle w:val="CoCHeading1"/>
              <w:numPr>
                <w:ilvl w:val="1"/>
                <w:numId w:val="45"/>
              </w:numPr>
              <w:ind w:left="691" w:hanging="720"/>
              <w:jc w:val="both"/>
            </w:pPr>
            <w:r w:rsidRPr="00204315">
              <w:rPr>
                <w:i w:val="0"/>
              </w:rPr>
              <w:t xml:space="preserve">The Completion Date of Related Services shall be: </w:t>
            </w:r>
            <w:r w:rsidR="006E0FC3">
              <w:rPr>
                <w:i w:val="0"/>
              </w:rPr>
              <w:t>Within 15 days from the receipt of goods (20 Units)</w:t>
            </w:r>
          </w:p>
        </w:tc>
      </w:tr>
      <w:tr w:rsidR="00E1320C" w:rsidRPr="00204315" w14:paraId="2C4F2A0F" w14:textId="77777777" w:rsidTr="00CA0CC0">
        <w:tc>
          <w:tcPr>
            <w:tcW w:w="2515" w:type="dxa"/>
          </w:tcPr>
          <w:p w14:paraId="35D5471C" w14:textId="77777777" w:rsidR="00E1320C" w:rsidRPr="00204315" w:rsidRDefault="00E1320C" w:rsidP="002E2367">
            <w:pPr>
              <w:pStyle w:val="COCgcc"/>
              <w:numPr>
                <w:ilvl w:val="0"/>
                <w:numId w:val="45"/>
              </w:numPr>
              <w:ind w:left="331"/>
            </w:pPr>
            <w:r w:rsidRPr="00204315">
              <w:t>Liquidated damages and bonuses</w:t>
            </w:r>
          </w:p>
        </w:tc>
        <w:tc>
          <w:tcPr>
            <w:tcW w:w="6930" w:type="dxa"/>
            <w:vAlign w:val="center"/>
          </w:tcPr>
          <w:p w14:paraId="5215DFED" w14:textId="5D5229C4" w:rsidR="00E1320C" w:rsidRPr="00204315" w:rsidRDefault="00E1320C" w:rsidP="002E2367">
            <w:pPr>
              <w:pStyle w:val="CoCHeading1"/>
              <w:numPr>
                <w:ilvl w:val="1"/>
                <w:numId w:val="45"/>
              </w:numPr>
              <w:ind w:left="691" w:hanging="720"/>
              <w:jc w:val="both"/>
              <w:rPr>
                <w:i w:val="0"/>
              </w:rPr>
            </w:pPr>
            <w:r w:rsidRPr="00204315">
              <w:rPr>
                <w:i w:val="0"/>
              </w:rPr>
              <w:t xml:space="preserve">The liquidated damage shall be </w:t>
            </w:r>
            <w:r w:rsidR="006E0FC3">
              <w:rPr>
                <w:i w:val="0"/>
              </w:rPr>
              <w:t>1</w:t>
            </w:r>
            <w:r w:rsidRPr="00204315">
              <w:rPr>
                <w:i w:val="0"/>
              </w:rPr>
              <w:t xml:space="preserve"> % of the price of the delayed Goods or unperformed Services for each week or part thereof of delay until actual delivery or performance.</w:t>
            </w:r>
          </w:p>
          <w:p w14:paraId="2C3C7060" w14:textId="4F7AE1C7" w:rsidR="00E1320C" w:rsidRPr="00204315" w:rsidRDefault="00E1320C" w:rsidP="00874AA4">
            <w:pPr>
              <w:spacing w:before="120" w:after="120"/>
              <w:ind w:left="704"/>
              <w:jc w:val="both"/>
            </w:pPr>
            <w:r w:rsidRPr="00204315">
              <w:t xml:space="preserve">The maximum amount of liquidated damages shall be </w:t>
            </w:r>
            <w:r w:rsidR="006E0FC3">
              <w:rPr>
                <w:i/>
                <w:iCs/>
              </w:rPr>
              <w:t>20%</w:t>
            </w:r>
            <w:r w:rsidRPr="00204315">
              <w:rPr>
                <w:i/>
                <w:iCs/>
              </w:rPr>
              <w:t xml:space="preserve"> </w:t>
            </w:r>
            <w:r w:rsidRPr="00204315">
              <w:rPr>
                <w:iCs/>
              </w:rPr>
              <w:t>of the Contract Price</w:t>
            </w:r>
            <w:r w:rsidRPr="00204315">
              <w:t>. Once the maximum is reached, the Purchaser may terminate the Contract pursuant to CC 26.</w:t>
            </w:r>
          </w:p>
          <w:p w14:paraId="64870EC9" w14:textId="38347486" w:rsidR="00E1320C" w:rsidRPr="00204315" w:rsidRDefault="00E1320C" w:rsidP="00874AA4">
            <w:pPr>
              <w:spacing w:before="120" w:after="120"/>
              <w:ind w:left="704"/>
              <w:jc w:val="both"/>
            </w:pPr>
          </w:p>
        </w:tc>
      </w:tr>
      <w:tr w:rsidR="00E1320C" w:rsidRPr="00204315" w14:paraId="61F676F3" w14:textId="77777777" w:rsidTr="00CA0CC0">
        <w:tc>
          <w:tcPr>
            <w:tcW w:w="2515" w:type="dxa"/>
          </w:tcPr>
          <w:p w14:paraId="740D50A5" w14:textId="77777777" w:rsidR="00E1320C" w:rsidRPr="00204315" w:rsidRDefault="00E1320C" w:rsidP="002E2367">
            <w:pPr>
              <w:pStyle w:val="COCgcc"/>
              <w:numPr>
                <w:ilvl w:val="0"/>
                <w:numId w:val="45"/>
              </w:numPr>
              <w:ind w:left="331"/>
            </w:pPr>
            <w:r w:rsidRPr="00204315">
              <w:t>Warranty</w:t>
            </w:r>
          </w:p>
          <w:p w14:paraId="3DDBC9EB" w14:textId="77777777" w:rsidR="00E1320C" w:rsidRPr="00204315" w:rsidRDefault="00E1320C" w:rsidP="00874AA4"/>
        </w:tc>
        <w:tc>
          <w:tcPr>
            <w:tcW w:w="6930" w:type="dxa"/>
          </w:tcPr>
          <w:p w14:paraId="33DE1F81" w14:textId="77777777" w:rsidR="00E1320C" w:rsidRPr="00204315" w:rsidRDefault="00E1320C" w:rsidP="002E2367">
            <w:pPr>
              <w:pStyle w:val="CoCHeading1"/>
              <w:numPr>
                <w:ilvl w:val="1"/>
                <w:numId w:val="45"/>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2E2367">
            <w:pPr>
              <w:pStyle w:val="CoCHeading1"/>
              <w:numPr>
                <w:ilvl w:val="1"/>
                <w:numId w:val="45"/>
              </w:numPr>
              <w:ind w:left="691" w:hanging="720"/>
              <w:jc w:val="both"/>
              <w:rPr>
                <w:i w:val="0"/>
              </w:rPr>
            </w:pPr>
            <w:r w:rsidRPr="00204315">
              <w:rPr>
                <w:i w:val="0"/>
              </w:rPr>
              <w:t xml:space="preserve">The Supplier further warrants that the Goods shall be free from defects arising from any act or omission of the Supplier or arising from design, materials, and workmanship, under normal </w:t>
            </w:r>
            <w:r w:rsidRPr="00204315">
              <w:rPr>
                <w:i w:val="0"/>
              </w:rPr>
              <w:lastRenderedPageBreak/>
              <w:t>use in the conditions prevailing in the country of final destination.</w:t>
            </w:r>
          </w:p>
          <w:p w14:paraId="0FFF25B8" w14:textId="6E2E257D" w:rsidR="00E1320C" w:rsidRPr="00204315" w:rsidRDefault="00E1320C" w:rsidP="002E2367">
            <w:pPr>
              <w:pStyle w:val="CoCHeading1"/>
              <w:numPr>
                <w:ilvl w:val="1"/>
                <w:numId w:val="45"/>
              </w:numPr>
              <w:ind w:left="691" w:hanging="720"/>
              <w:jc w:val="both"/>
              <w:rPr>
                <w:i w:val="0"/>
              </w:rPr>
            </w:pPr>
            <w:r w:rsidRPr="00204315">
              <w:rPr>
                <w:i w:val="0"/>
              </w:rPr>
              <w:t xml:space="preserve">The warranty shall remain valid for </w:t>
            </w:r>
            <w:r w:rsidR="00254BE9" w:rsidRPr="00254BE9">
              <w:rPr>
                <w:i w:val="0"/>
                <w:iCs/>
              </w:rPr>
              <w:t>24</w:t>
            </w:r>
            <w:r w:rsidRPr="00204315">
              <w:rPr>
                <w:i w:val="0"/>
              </w:rPr>
              <w:t xml:space="preserve"> months after the Goods, or any portion thereof as the case may be, have been delivered to and accepted at the final destination</w:t>
            </w:r>
            <w:r w:rsidRPr="00204315">
              <w:rPr>
                <w:b/>
                <w:i w:val="0"/>
              </w:rPr>
              <w:t>,</w:t>
            </w:r>
            <w:r w:rsidRPr="00204315">
              <w:rPr>
                <w:i w:val="0"/>
              </w:rPr>
              <w:t xml:space="preserve"> or for </w:t>
            </w:r>
            <w:r w:rsidR="00254BE9" w:rsidRPr="00254BE9">
              <w:rPr>
                <w:i w:val="0"/>
                <w:iCs/>
              </w:rPr>
              <w:t>25</w:t>
            </w:r>
            <w:r w:rsidRPr="00204315">
              <w:rPr>
                <w:i w:val="0"/>
              </w:rPr>
              <w:t xml:space="preserve"> months after the date of shipment from the port or place of loading in the country of origin, whichever period concludes earlier.</w:t>
            </w:r>
          </w:p>
          <w:p w14:paraId="4A56B3DF" w14:textId="7C75E891" w:rsidR="00E1320C" w:rsidRPr="00204315" w:rsidRDefault="00E1320C" w:rsidP="002E2367">
            <w:pPr>
              <w:pStyle w:val="CoCHeading1"/>
              <w:numPr>
                <w:ilvl w:val="1"/>
                <w:numId w:val="45"/>
              </w:numPr>
              <w:ind w:left="691" w:hanging="720"/>
              <w:jc w:val="both"/>
              <w:rPr>
                <w:i w:val="0"/>
              </w:rPr>
            </w:pPr>
            <w:r w:rsidRPr="00204315">
              <w:rPr>
                <w:i w:val="0"/>
              </w:rPr>
              <w:t xml:space="preserve">The period for repair or replacement after being notified of the defect by the Purchaser shall be </w:t>
            </w:r>
            <w:r w:rsidR="00254BE9">
              <w:t>30</w:t>
            </w:r>
            <w:r w:rsidRPr="00CA0CC0">
              <w:t xml:space="preserve"> </w:t>
            </w:r>
            <w:r w:rsidRPr="00204315">
              <w:rPr>
                <w:i w:val="0"/>
              </w:rPr>
              <w:t>days.</w:t>
            </w:r>
          </w:p>
          <w:p w14:paraId="7B3F5C68" w14:textId="77777777" w:rsidR="00E1320C" w:rsidRPr="00204315" w:rsidRDefault="00E1320C" w:rsidP="002E2367">
            <w:pPr>
              <w:pStyle w:val="CoCHeading1"/>
              <w:numPr>
                <w:ilvl w:val="1"/>
                <w:numId w:val="45"/>
              </w:numPr>
              <w:ind w:left="691" w:hanging="720"/>
              <w:jc w:val="both"/>
              <w:rPr>
                <w:i w:val="0"/>
                <w:u w:val="single"/>
              </w:rPr>
            </w:pPr>
            <w:r w:rsidRPr="00204315">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398B4F17" w:rsidR="00E1320C" w:rsidRPr="00204315" w:rsidRDefault="00E1320C" w:rsidP="002E2367">
            <w:pPr>
              <w:pStyle w:val="CoCHeading1"/>
              <w:numPr>
                <w:ilvl w:val="1"/>
                <w:numId w:val="45"/>
              </w:numPr>
              <w:ind w:left="691" w:hanging="720"/>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 xml:space="preserve">arranty, the place(s) of </w:t>
            </w:r>
            <w:proofErr w:type="gramStart"/>
            <w:r w:rsidRPr="00204315">
              <w:rPr>
                <w:i w:val="0"/>
              </w:rPr>
              <w:t>final destination</w:t>
            </w:r>
            <w:proofErr w:type="gramEnd"/>
            <w:r w:rsidRPr="00204315">
              <w:rPr>
                <w:i w:val="0"/>
              </w:rPr>
              <w:t xml:space="preserve">(s) shall be: </w:t>
            </w:r>
            <w:r w:rsidR="00254BE9">
              <w:rPr>
                <w:b/>
              </w:rPr>
              <w:t xml:space="preserve">118, AK, Tsereteli </w:t>
            </w:r>
            <w:proofErr w:type="spellStart"/>
            <w:r w:rsidR="00254BE9">
              <w:rPr>
                <w:b/>
              </w:rPr>
              <w:t>ave.</w:t>
            </w:r>
            <w:proofErr w:type="spellEnd"/>
            <w:r w:rsidR="00254BE9">
              <w:rPr>
                <w:b/>
              </w:rPr>
              <w:t xml:space="preserve"> Tbilisi, Georgia</w:t>
            </w:r>
          </w:p>
        </w:tc>
      </w:tr>
      <w:tr w:rsidR="00E1320C" w:rsidRPr="00204315" w14:paraId="5E695859" w14:textId="77777777" w:rsidTr="00CA0CC0">
        <w:tc>
          <w:tcPr>
            <w:tcW w:w="2515" w:type="dxa"/>
          </w:tcPr>
          <w:p w14:paraId="473E238A" w14:textId="77777777" w:rsidR="00E1320C" w:rsidRPr="00204315" w:rsidRDefault="00E1320C" w:rsidP="002E2367">
            <w:pPr>
              <w:pStyle w:val="COCgcc"/>
              <w:numPr>
                <w:ilvl w:val="0"/>
                <w:numId w:val="45"/>
              </w:numPr>
              <w:ind w:left="331"/>
            </w:pPr>
            <w:r w:rsidRPr="00204315">
              <w:lastRenderedPageBreak/>
              <w:t>Copyright</w:t>
            </w:r>
          </w:p>
        </w:tc>
        <w:tc>
          <w:tcPr>
            <w:tcW w:w="6930" w:type="dxa"/>
            <w:vAlign w:val="center"/>
          </w:tcPr>
          <w:p w14:paraId="35E6481D" w14:textId="77777777" w:rsidR="00E1320C" w:rsidRPr="00204315" w:rsidDel="00350B32" w:rsidRDefault="00E1320C" w:rsidP="002E2367">
            <w:pPr>
              <w:pStyle w:val="CoCHeading1"/>
              <w:numPr>
                <w:ilvl w:val="1"/>
                <w:numId w:val="45"/>
              </w:numPr>
              <w:ind w:left="691" w:hanging="720"/>
              <w:jc w:val="both"/>
              <w:rPr>
                <w:i w:val="0"/>
              </w:rPr>
            </w:pPr>
            <w:r w:rsidRPr="00204315">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2E2367">
            <w:pPr>
              <w:pStyle w:val="COCgcc"/>
              <w:numPr>
                <w:ilvl w:val="0"/>
                <w:numId w:val="45"/>
              </w:numPr>
              <w:ind w:left="331"/>
            </w:pPr>
            <w:r w:rsidRPr="00204315">
              <w:t>Fraud and Corruption</w:t>
            </w:r>
          </w:p>
        </w:tc>
        <w:tc>
          <w:tcPr>
            <w:tcW w:w="6930" w:type="dxa"/>
            <w:vAlign w:val="center"/>
          </w:tcPr>
          <w:p w14:paraId="6A783733" w14:textId="2C746FE2" w:rsidR="00E1320C" w:rsidRPr="00204315" w:rsidRDefault="00BC63EA" w:rsidP="002E2367">
            <w:pPr>
              <w:pStyle w:val="CoCHeading1"/>
              <w:numPr>
                <w:ilvl w:val="1"/>
                <w:numId w:val="45"/>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2E2367">
            <w:pPr>
              <w:pStyle w:val="CoCHeading1"/>
              <w:numPr>
                <w:ilvl w:val="1"/>
                <w:numId w:val="45"/>
              </w:numPr>
              <w:ind w:left="691" w:hanging="720"/>
              <w:jc w:val="both"/>
              <w:rPr>
                <w:i w:val="0"/>
              </w:rPr>
            </w:pPr>
            <w:r w:rsidRPr="00204315">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2E2367">
            <w:pPr>
              <w:pStyle w:val="COCgcc"/>
              <w:numPr>
                <w:ilvl w:val="0"/>
                <w:numId w:val="45"/>
              </w:numPr>
              <w:ind w:left="331"/>
            </w:pPr>
            <w:r w:rsidRPr="00204315">
              <w:t>Inspections and Audit by the Bank</w:t>
            </w:r>
          </w:p>
        </w:tc>
        <w:tc>
          <w:tcPr>
            <w:tcW w:w="6930" w:type="dxa"/>
            <w:vAlign w:val="center"/>
          </w:tcPr>
          <w:p w14:paraId="763A9772" w14:textId="09F4FEA8" w:rsidR="00E1320C" w:rsidRPr="00204315" w:rsidRDefault="00BC63EA" w:rsidP="002E2367">
            <w:pPr>
              <w:pStyle w:val="CoCHeading1"/>
              <w:numPr>
                <w:ilvl w:val="1"/>
                <w:numId w:val="45"/>
              </w:numPr>
              <w:ind w:left="691" w:hanging="720"/>
              <w:jc w:val="both"/>
              <w:rPr>
                <w:i w:val="0"/>
              </w:rPr>
            </w:pPr>
            <w:r w:rsidRPr="00204315">
              <w:rPr>
                <w:i w:val="0"/>
                <w:noProof/>
              </w:rPr>
              <w:t>Pursuant</w:t>
            </w:r>
            <w:r w:rsidRPr="00204315">
              <w:rPr>
                <w:i w:val="0"/>
              </w:rPr>
              <w:t xml:space="preserve"> to paragraph 2.2 e. of the attachment to the Conditions of Contract, the </w:t>
            </w:r>
            <w:r w:rsidR="00E1320C" w:rsidRPr="00204315">
              <w:rPr>
                <w:i w:val="0"/>
              </w:rPr>
              <w:t xml:space="preserve">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w:t>
            </w:r>
            <w:r w:rsidR="00E1320C" w:rsidRPr="00204315">
              <w:rPr>
                <w:i w:val="0"/>
              </w:rPr>
              <w:lastRenderedPageBreak/>
              <w:t>(Fraud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2E2367">
            <w:pPr>
              <w:pStyle w:val="COCgcc"/>
              <w:numPr>
                <w:ilvl w:val="0"/>
                <w:numId w:val="45"/>
              </w:numPr>
              <w:ind w:left="331"/>
            </w:pPr>
            <w:r w:rsidRPr="00204315">
              <w:lastRenderedPageBreak/>
              <w:t>Limitation of Liability</w:t>
            </w:r>
          </w:p>
        </w:tc>
        <w:tc>
          <w:tcPr>
            <w:tcW w:w="6930" w:type="dxa"/>
            <w:vAlign w:val="center"/>
          </w:tcPr>
          <w:p w14:paraId="172CC497" w14:textId="77777777" w:rsidR="00E1320C" w:rsidRPr="00204315" w:rsidRDefault="00E1320C" w:rsidP="002E2367">
            <w:pPr>
              <w:pStyle w:val="CoCHeading1"/>
              <w:numPr>
                <w:ilvl w:val="1"/>
                <w:numId w:val="45"/>
              </w:numPr>
              <w:ind w:left="691" w:hanging="720"/>
              <w:jc w:val="both"/>
              <w:rPr>
                <w:i w:val="0"/>
              </w:rPr>
            </w:pPr>
            <w:r w:rsidRPr="00204315">
              <w:rPr>
                <w:i w:val="0"/>
              </w:rPr>
              <w:t xml:space="preserve">Except in cases of criminal negligence or willful misconduct, </w:t>
            </w:r>
          </w:p>
          <w:p w14:paraId="2B7E82F0" w14:textId="77777777" w:rsidR="00E1320C" w:rsidRPr="00204315" w:rsidRDefault="00E1320C" w:rsidP="00874AA4">
            <w:pPr>
              <w:spacing w:after="200"/>
              <w:ind w:left="1244" w:hanging="540"/>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874AA4">
            <w:pPr>
              <w:spacing w:after="200"/>
              <w:ind w:left="1244" w:hanging="540"/>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2E2367">
            <w:pPr>
              <w:pStyle w:val="COCgcc"/>
              <w:numPr>
                <w:ilvl w:val="0"/>
                <w:numId w:val="45"/>
              </w:numPr>
              <w:ind w:left="331"/>
            </w:pPr>
            <w:r w:rsidRPr="00204315">
              <w:t>Force Majeure</w:t>
            </w:r>
          </w:p>
        </w:tc>
        <w:tc>
          <w:tcPr>
            <w:tcW w:w="6930" w:type="dxa"/>
            <w:vAlign w:val="center"/>
          </w:tcPr>
          <w:p w14:paraId="5B5F3C86" w14:textId="77777777" w:rsidR="00E1320C" w:rsidRPr="00204315" w:rsidRDefault="00E1320C" w:rsidP="002E2367">
            <w:pPr>
              <w:pStyle w:val="CoCHeading1"/>
              <w:numPr>
                <w:ilvl w:val="1"/>
                <w:numId w:val="45"/>
              </w:numPr>
              <w:ind w:left="691" w:hanging="720"/>
              <w:jc w:val="both"/>
              <w:rPr>
                <w:i w:val="0"/>
              </w:rPr>
            </w:pPr>
            <w:r w:rsidRPr="00204315">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2E2367">
            <w:pPr>
              <w:pStyle w:val="CoCHeading1"/>
              <w:numPr>
                <w:ilvl w:val="1"/>
                <w:numId w:val="45"/>
              </w:numPr>
              <w:ind w:left="691" w:hanging="72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2E2367">
            <w:pPr>
              <w:pStyle w:val="CoCHeading1"/>
              <w:numPr>
                <w:ilvl w:val="1"/>
                <w:numId w:val="45"/>
              </w:numPr>
              <w:ind w:left="691" w:hanging="720"/>
              <w:jc w:val="both"/>
            </w:pPr>
            <w:r w:rsidRPr="00204315">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6EF0CBC7" w:rsidR="000A6669" w:rsidRPr="00204315" w:rsidRDefault="000A6669" w:rsidP="002E2367">
            <w:pPr>
              <w:pStyle w:val="CoCHeading1"/>
              <w:numPr>
                <w:ilvl w:val="1"/>
                <w:numId w:val="45"/>
              </w:numPr>
              <w:ind w:left="691" w:hanging="720"/>
              <w:jc w:val="both"/>
            </w:pPr>
            <w:r w:rsidRPr="000A6669">
              <w:rPr>
                <w:i w:val="0"/>
              </w:rPr>
              <w:t xml:space="preserve">If the performance of the Contract is substantially prevented, hindered or delayed for a single period of more than sixty (60) days or an aggregate period of more than one hundred and twenty (120) days on account of one or more events of Force </w:t>
            </w:r>
            <w:r w:rsidRPr="000A6669">
              <w:rPr>
                <w:i w:val="0"/>
              </w:rPr>
              <w:lastRenderedPageBreak/>
              <w:t>Majeure during the currency of the Contract, the Parties will attempt to develop a mutually satisfactory solution, failing which either Party may terminate the Contract by giving a notice to the other Party</w:t>
            </w:r>
            <w:r>
              <w:rPr>
                <w:i w:val="0"/>
              </w:rPr>
              <w:t>.</w:t>
            </w:r>
          </w:p>
        </w:tc>
      </w:tr>
      <w:tr w:rsidR="00E1320C" w:rsidRPr="00204315" w14:paraId="5F9369FC" w14:textId="77777777" w:rsidTr="00CA0CC0">
        <w:tc>
          <w:tcPr>
            <w:tcW w:w="2515" w:type="dxa"/>
          </w:tcPr>
          <w:p w14:paraId="6564A861" w14:textId="77777777" w:rsidR="00E1320C" w:rsidRPr="00204315" w:rsidRDefault="00E1320C" w:rsidP="002E2367">
            <w:pPr>
              <w:pStyle w:val="COCgcc"/>
              <w:numPr>
                <w:ilvl w:val="0"/>
                <w:numId w:val="45"/>
              </w:numPr>
              <w:ind w:left="331"/>
            </w:pPr>
            <w:r w:rsidRPr="00204315">
              <w:lastRenderedPageBreak/>
              <w:t>Termination</w:t>
            </w:r>
          </w:p>
        </w:tc>
        <w:tc>
          <w:tcPr>
            <w:tcW w:w="6930" w:type="dxa"/>
            <w:vAlign w:val="center"/>
          </w:tcPr>
          <w:p w14:paraId="619C8719" w14:textId="77777777" w:rsidR="00E1320C" w:rsidRPr="00204315" w:rsidRDefault="00E1320C" w:rsidP="002E2367">
            <w:pPr>
              <w:pStyle w:val="CoCHeading1"/>
              <w:numPr>
                <w:ilvl w:val="1"/>
                <w:numId w:val="45"/>
              </w:numPr>
              <w:ind w:left="691" w:hanging="720"/>
              <w:jc w:val="both"/>
              <w:rPr>
                <w:i w:val="0"/>
              </w:rPr>
            </w:pPr>
            <w:r w:rsidRPr="00204315">
              <w:rPr>
                <w:i w:val="0"/>
              </w:rPr>
              <w:t>Termination for Default</w:t>
            </w:r>
          </w:p>
          <w:p w14:paraId="4CF7BF92" w14:textId="77777777" w:rsidR="00E1320C" w:rsidRPr="00204315" w:rsidRDefault="00E1320C" w:rsidP="00874AA4">
            <w:pPr>
              <w:pStyle w:val="Heading3"/>
              <w:ind w:left="704"/>
              <w:outlineLvl w:val="2"/>
            </w:pPr>
            <w:r w:rsidRPr="00204315">
              <w:t>The Purchaser, without prejudice to any other remedy for breach of Contract, by written notice of default sent to the Supplier, may terminate the Contract in whole or in part:</w:t>
            </w:r>
          </w:p>
          <w:p w14:paraId="577D16AF" w14:textId="77777777" w:rsidR="00E1320C" w:rsidRPr="00204315" w:rsidRDefault="00E1320C" w:rsidP="00E1320C">
            <w:pPr>
              <w:pStyle w:val="Heading4"/>
              <w:numPr>
                <w:ilvl w:val="3"/>
                <w:numId w:val="26"/>
              </w:numPr>
              <w:tabs>
                <w:tab w:val="clear" w:pos="1901"/>
              </w:tabs>
              <w:spacing w:before="0" w:after="200"/>
              <w:ind w:left="1238" w:hanging="504"/>
              <w:outlineLvl w:val="3"/>
              <w:rPr>
                <w:spacing w:val="0"/>
              </w:rPr>
            </w:pPr>
            <w:r w:rsidRPr="00204315">
              <w:rPr>
                <w:spacing w:val="0"/>
              </w:rPr>
              <w:t xml:space="preserve">if the Supplier fails to deliver any or all of the Goods within the period specified in the Contract, or within any extension thereof granted by the Purchaser; </w:t>
            </w:r>
          </w:p>
          <w:p w14:paraId="74DC1ED3" w14:textId="77777777" w:rsidR="00E1320C" w:rsidRPr="00204315" w:rsidRDefault="00E1320C" w:rsidP="00E1320C">
            <w:pPr>
              <w:pStyle w:val="Heading4"/>
              <w:numPr>
                <w:ilvl w:val="3"/>
                <w:numId w:val="26"/>
              </w:numPr>
              <w:tabs>
                <w:tab w:val="clear" w:pos="1901"/>
              </w:tabs>
              <w:spacing w:before="0" w:after="200"/>
              <w:ind w:left="1238" w:hanging="504"/>
              <w:outlineLvl w:val="3"/>
              <w:rPr>
                <w:spacing w:val="0"/>
              </w:rPr>
            </w:pPr>
            <w:r w:rsidRPr="00204315">
              <w:rPr>
                <w:spacing w:val="0"/>
              </w:rPr>
              <w:t>if the Supplier fails to perform any other obligation under the Contract; or</w:t>
            </w:r>
          </w:p>
          <w:p w14:paraId="3B976A08" w14:textId="77777777" w:rsidR="00E1320C" w:rsidRPr="00204315" w:rsidRDefault="00E1320C" w:rsidP="00E1320C">
            <w:pPr>
              <w:pStyle w:val="Heading4"/>
              <w:numPr>
                <w:ilvl w:val="3"/>
                <w:numId w:val="26"/>
              </w:numPr>
              <w:tabs>
                <w:tab w:val="clear" w:pos="1901"/>
              </w:tabs>
              <w:spacing w:before="0" w:after="200"/>
              <w:ind w:left="1238" w:hanging="504"/>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874AA4">
            <w:pPr>
              <w:spacing w:before="120" w:after="120"/>
              <w:ind w:left="794"/>
              <w:jc w:val="both"/>
            </w:pPr>
            <w:r w:rsidRPr="00204315">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similar to those undelivered or not performed, and the Supplier shall be liable to the Purchaser for any additional costs for such similar Goods or Related Services</w:t>
            </w:r>
            <w:r w:rsidR="00BC63EA" w:rsidRPr="00204315">
              <w:t xml:space="preserve"> if applicable</w:t>
            </w:r>
            <w:r w:rsidRPr="00204315">
              <w:t>. However, the Supplier shall continue performance of the Contract to the extent not terminated.</w:t>
            </w:r>
          </w:p>
          <w:p w14:paraId="2CD156D6" w14:textId="77777777" w:rsidR="00E1320C" w:rsidRPr="00204315" w:rsidRDefault="00E1320C" w:rsidP="002E2367">
            <w:pPr>
              <w:pStyle w:val="CoCHeading1"/>
              <w:numPr>
                <w:ilvl w:val="1"/>
                <w:numId w:val="45"/>
              </w:numPr>
              <w:ind w:left="691" w:hanging="720"/>
              <w:jc w:val="both"/>
              <w:rPr>
                <w:i w:val="0"/>
              </w:rPr>
            </w:pPr>
            <w:r w:rsidRPr="00204315">
              <w:rPr>
                <w:i w:val="0"/>
              </w:rPr>
              <w:t>Termination for Convenience</w:t>
            </w:r>
          </w:p>
          <w:p w14:paraId="75FD2D2D" w14:textId="77777777" w:rsidR="00E1320C" w:rsidRPr="00204315" w:rsidRDefault="00E1320C" w:rsidP="00E1320C">
            <w:pPr>
              <w:pStyle w:val="Heading3"/>
              <w:numPr>
                <w:ilvl w:val="0"/>
                <w:numId w:val="29"/>
              </w:numPr>
              <w:ind w:left="1244" w:hanging="450"/>
              <w:outlineLvl w:val="2"/>
            </w:pPr>
            <w:r w:rsidRPr="00204315">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204315" w:rsidRDefault="00E1320C" w:rsidP="00E1320C">
            <w:pPr>
              <w:pStyle w:val="Heading3"/>
              <w:numPr>
                <w:ilvl w:val="0"/>
                <w:numId w:val="29"/>
              </w:numPr>
              <w:ind w:left="1244" w:hanging="450"/>
              <w:outlineLvl w:val="2"/>
            </w:pPr>
            <w:r w:rsidRPr="00204315">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204315"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204315">
              <w:rPr>
                <w:spacing w:val="0"/>
              </w:rPr>
              <w:t>to have any portion completed and delivered at the Contract terms and prices; and/or</w:t>
            </w:r>
          </w:p>
          <w:p w14:paraId="4CBF3CFC" w14:textId="4202DCB8" w:rsidR="00E1320C" w:rsidRPr="00204315" w:rsidRDefault="00E1320C" w:rsidP="00E1320C">
            <w:pPr>
              <w:pStyle w:val="Heading4"/>
              <w:numPr>
                <w:ilvl w:val="3"/>
                <w:numId w:val="28"/>
              </w:numPr>
              <w:tabs>
                <w:tab w:val="clear" w:pos="1512"/>
                <w:tab w:val="right" w:pos="1784"/>
              </w:tabs>
              <w:spacing w:before="0" w:after="200"/>
              <w:ind w:left="1728" w:hanging="484"/>
              <w:outlineLvl w:val="3"/>
            </w:pPr>
            <w:r w:rsidRPr="00204315">
              <w:lastRenderedPageBreak/>
              <w:t xml:space="preserve">to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788A172D" w14:textId="54F90969" w:rsidR="00E1320C" w:rsidRPr="00204315" w:rsidRDefault="00E1320C" w:rsidP="0004651B">
      <w:pPr>
        <w:spacing w:after="0" w:line="240" w:lineRule="auto"/>
        <w:jc w:val="center"/>
        <w:rPr>
          <w:rFonts w:ascii="Times New Roman" w:eastAsia="Times New Roman" w:hAnsi="Times New Roman" w:cs="Times New Roman"/>
          <w:b/>
          <w:sz w:val="24"/>
          <w:szCs w:val="24"/>
        </w:rPr>
      </w:pPr>
    </w:p>
    <w:bookmarkEnd w:id="6"/>
    <w:p w14:paraId="4130E0B9"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9B35781" w14:textId="77777777" w:rsidR="008250E5" w:rsidRPr="00204315" w:rsidRDefault="008250E5" w:rsidP="008250E5">
      <w:pPr>
        <w:spacing w:after="0" w:line="240" w:lineRule="auto"/>
        <w:jc w:val="both"/>
        <w:rPr>
          <w:rFonts w:ascii="Times New Roman" w:eastAsia="Times New Roman" w:hAnsi="Times New Roman" w:cs="Times New Roman"/>
          <w:sz w:val="24"/>
          <w:szCs w:val="24"/>
        </w:rPr>
      </w:pPr>
    </w:p>
    <w:p w14:paraId="2B77FD59" w14:textId="77777777" w:rsidR="002A57ED" w:rsidRDefault="002A57ED"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784D9F58" w14:textId="5D72DEB3"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77777777"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37E3F526" w14:textId="77777777" w:rsidR="00BC63EA" w:rsidRPr="00204315" w:rsidRDefault="00BC63EA" w:rsidP="00BC63EA">
      <w:pPr>
        <w:numPr>
          <w:ilvl w:val="0"/>
          <w:numId w:val="39"/>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BC63EA">
      <w:pPr>
        <w:pStyle w:val="ListParagraph"/>
        <w:numPr>
          <w:ilvl w:val="1"/>
          <w:numId w:val="39"/>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BC63EA">
      <w:pPr>
        <w:numPr>
          <w:ilvl w:val="0"/>
          <w:numId w:val="39"/>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BC63EA">
      <w:pPr>
        <w:pStyle w:val="ListParagraph"/>
        <w:numPr>
          <w:ilvl w:val="0"/>
          <w:numId w:val="40"/>
        </w:numPr>
        <w:autoSpaceDE w:val="0"/>
        <w:autoSpaceDN w:val="0"/>
        <w:adjustRightInd w:val="0"/>
        <w:spacing w:after="12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BC63EA">
      <w:pPr>
        <w:pStyle w:val="ListParagraph"/>
        <w:numPr>
          <w:ilvl w:val="0"/>
          <w:numId w:val="40"/>
        </w:numPr>
        <w:autoSpaceDE w:val="0"/>
        <w:autoSpaceDN w:val="0"/>
        <w:adjustRightInd w:val="0"/>
        <w:spacing w:after="12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BC63EA">
      <w:pPr>
        <w:numPr>
          <w:ilvl w:val="0"/>
          <w:numId w:val="42"/>
        </w:numPr>
        <w:autoSpaceDE w:val="0"/>
        <w:autoSpaceDN w:val="0"/>
        <w:adjustRightInd w:val="0"/>
        <w:spacing w:after="120" w:line="240" w:lineRule="auto"/>
        <w:ind w:left="198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BC63EA">
      <w:pPr>
        <w:numPr>
          <w:ilvl w:val="0"/>
          <w:numId w:val="43"/>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BC63EA">
      <w:pPr>
        <w:numPr>
          <w:ilvl w:val="0"/>
          <w:numId w:val="43"/>
        </w:numPr>
        <w:autoSpaceDE w:val="0"/>
        <w:autoSpaceDN w:val="0"/>
        <w:adjustRightInd w:val="0"/>
        <w:spacing w:after="120" w:line="240" w:lineRule="auto"/>
        <w:ind w:hanging="540"/>
        <w:jc w:val="both"/>
        <w:rPr>
          <w:rFonts w:ascii="Times New Roman" w:hAnsi="Times New Roman" w:cs="Times New Roman"/>
          <w:sz w:val="24"/>
          <w:szCs w:val="24"/>
        </w:rPr>
      </w:pPr>
      <w:r w:rsidRPr="00204315">
        <w:rPr>
          <w:rFonts w:ascii="Times New Roman" w:hAnsi="Times New Roman" w:cs="Times New Roman"/>
          <w:sz w:val="24"/>
          <w:szCs w:val="24"/>
        </w:rPr>
        <w:lastRenderedPageBreak/>
        <w:t>acts intended to materially impede the exercise of the Bank’s inspection and audit rights provided for under paragraph 2.2 e. below.</w:t>
      </w:r>
    </w:p>
    <w:p w14:paraId="486C1BEB"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0A6669">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08805B77" w:rsidR="00EC21DC" w:rsidRPr="000A6669" w:rsidRDefault="00BC63EA" w:rsidP="000A6669">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w:t>
      </w:r>
      <w:r w:rsidRPr="000A6669">
        <w:rPr>
          <w:rFonts w:ascii="Times New Roman" w:hAnsi="Times New Roman" w:cs="Times New Roman"/>
          <w:sz w:val="24"/>
          <w:szCs w:val="24"/>
        </w:rPr>
        <w:lastRenderedPageBreak/>
        <w:t>selection and/or contract execution, and to have them audited by auditors appointed by the Bank</w:t>
      </w:r>
      <w:bookmarkStart w:id="8" w:name="_Toc428352207"/>
      <w:bookmarkStart w:id="9" w:name="_Toc438907198"/>
      <w:bookmarkStart w:id="10" w:name="_Toc438907298"/>
      <w:bookmarkStart w:id="11" w:name="_Toc471555885"/>
      <w:bookmarkStart w:id="12" w:name="_Toc73333193"/>
      <w:bookmarkStart w:id="13" w:name="_Toc436904426"/>
      <w:bookmarkStart w:id="14" w:name="_Toc475548394"/>
      <w:bookmarkStart w:id="15" w:name="_Toc503364218"/>
      <w:r w:rsidR="00EC21DC" w:rsidRPr="000A6669">
        <w:rPr>
          <w:rFonts w:ascii="Times New Roman Bold" w:eastAsia="Times New Roman" w:hAnsi="Times New Roman Bold" w:cs="Times New Roman"/>
          <w:i/>
          <w:kern w:val="28"/>
          <w:sz w:val="40"/>
          <w:szCs w:val="40"/>
          <w:lang w:val="en-GB"/>
        </w:rPr>
        <w:br w:type="page"/>
      </w:r>
    </w:p>
    <w:p w14:paraId="249D3EFA" w14:textId="77777777" w:rsidR="0004651B" w:rsidRPr="00204315" w:rsidRDefault="0004651B" w:rsidP="0004651B">
      <w:pPr>
        <w:spacing w:after="200" w:line="240" w:lineRule="auto"/>
        <w:rPr>
          <w:rFonts w:ascii="Times New Roman" w:eastAsia="Times New Roman" w:hAnsi="Times New Roman" w:cs="Times New Roman"/>
          <w:i/>
          <w:iCs/>
          <w:sz w:val="24"/>
          <w:szCs w:val="24"/>
        </w:rPr>
      </w:pPr>
      <w:bookmarkStart w:id="16" w:name="_GoBack"/>
      <w:bookmarkEnd w:id="8"/>
      <w:bookmarkEnd w:id="9"/>
      <w:bookmarkEnd w:id="10"/>
      <w:bookmarkEnd w:id="11"/>
      <w:bookmarkEnd w:id="12"/>
      <w:bookmarkEnd w:id="13"/>
      <w:bookmarkEnd w:id="14"/>
      <w:bookmarkEnd w:id="15"/>
      <w:bookmarkEnd w:id="16"/>
    </w:p>
    <w:p w14:paraId="3F85B76A" w14:textId="77777777" w:rsidR="0004651B" w:rsidRPr="00204315" w:rsidRDefault="0004651B" w:rsidP="0004651B">
      <w:pPr>
        <w:spacing w:after="200" w:line="240" w:lineRule="auto"/>
        <w:jc w:val="both"/>
        <w:rPr>
          <w:rFonts w:ascii="Times New Roman" w:eastAsia="Times New Roman" w:hAnsi="Times New Roman" w:cs="Times New Roman"/>
          <w:sz w:val="24"/>
          <w:szCs w:val="24"/>
        </w:rPr>
      </w:pPr>
    </w:p>
    <w:p w14:paraId="07DA3900" w14:textId="77777777" w:rsidR="0004651B" w:rsidRPr="00204315"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204315" w:rsidRDefault="0004651B" w:rsidP="0004651B">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p w14:paraId="1D7AD05A" w14:textId="77777777" w:rsidR="0004651B" w:rsidRPr="00204315" w:rsidRDefault="0004651B" w:rsidP="0004651B">
      <w:pPr>
        <w:spacing w:after="0" w:line="240" w:lineRule="auto"/>
        <w:rPr>
          <w:rFonts w:ascii="Times New Roman" w:eastAsia="Times New Roman" w:hAnsi="Times New Roman" w:cs="Times New Roman"/>
          <w:iCs/>
          <w:sz w:val="24"/>
          <w:szCs w:val="24"/>
        </w:rPr>
        <w:sectPr w:rsidR="0004651B" w:rsidRPr="00204315">
          <w:headerReference w:type="even" r:id="rId13"/>
          <w:headerReference w:type="default" r:id="rId14"/>
          <w:pgSz w:w="12240" w:h="15840"/>
          <w:pgMar w:top="1440" w:right="1440" w:bottom="1440" w:left="1440" w:header="720" w:footer="720" w:gutter="0"/>
          <w:cols w:space="720"/>
          <w:docGrid w:linePitch="360"/>
        </w:sectPr>
      </w:pPr>
    </w:p>
    <w:p w14:paraId="684670C5" w14:textId="24A7F031" w:rsidR="00D91A52" w:rsidRPr="00204315" w:rsidRDefault="00D91A52" w:rsidP="00D91A52">
      <w:pPr>
        <w:suppressAutoHyphens/>
        <w:spacing w:after="0" w:line="240" w:lineRule="auto"/>
        <w:jc w:val="center"/>
        <w:rPr>
          <w:rFonts w:ascii="Times New Roman Bold" w:eastAsia="Times New Roman" w:hAnsi="Times New Roman Bold" w:cs="Times New Roman"/>
          <w:i/>
          <w:kern w:val="28"/>
          <w:sz w:val="32"/>
          <w:szCs w:val="32"/>
          <w:lang w:val="en-GB"/>
        </w:rPr>
      </w:pPr>
      <w:bookmarkStart w:id="17" w:name="_Toc73333194"/>
      <w:bookmarkStart w:id="18" w:name="_Toc436904427"/>
      <w:bookmarkStart w:id="19" w:name="_Toc475548395"/>
      <w:bookmarkStart w:id="20" w:name="_Toc503364219"/>
      <w:bookmarkStart w:id="21" w:name="_Toc428352208"/>
      <w:bookmarkStart w:id="22" w:name="_Toc438907199"/>
      <w:bookmarkStart w:id="23" w:name="_Toc438907299"/>
      <w:bookmarkStart w:id="24" w:name="_Toc471555886"/>
      <w:r w:rsidRPr="00204315">
        <w:rPr>
          <w:rFonts w:ascii="Times New Roman Bold" w:eastAsia="Times New Roman" w:hAnsi="Times New Roman Bold" w:cs="Times New Roman"/>
          <w:i/>
          <w:kern w:val="28"/>
          <w:sz w:val="32"/>
          <w:szCs w:val="32"/>
          <w:lang w:val="en-GB"/>
        </w:rPr>
        <w:lastRenderedPageBreak/>
        <w:t xml:space="preserve">[Delete unless required in the CC] </w:t>
      </w:r>
    </w:p>
    <w:p w14:paraId="0B97BCCE" w14:textId="0F3B12A1"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Advance Payment</w:t>
      </w:r>
      <w:bookmarkEnd w:id="17"/>
      <w:r w:rsidRPr="00204315">
        <w:rPr>
          <w:rFonts w:ascii="Times New Roman Bold" w:eastAsia="Times New Roman" w:hAnsi="Times New Roman Bold" w:cs="Times New Roman"/>
          <w:kern w:val="28"/>
          <w:sz w:val="40"/>
          <w:szCs w:val="40"/>
          <w:lang w:val="en-GB"/>
        </w:rPr>
        <w:t xml:space="preserve"> Security</w:t>
      </w:r>
      <w:bookmarkEnd w:id="18"/>
      <w:bookmarkEnd w:id="19"/>
      <w:bookmarkEnd w:id="20"/>
      <w:r w:rsidRPr="00204315">
        <w:rPr>
          <w:rFonts w:ascii="Times New Roman Bold" w:eastAsia="Times New Roman" w:hAnsi="Times New Roman Bold" w:cs="Times New Roman"/>
          <w:kern w:val="28"/>
          <w:sz w:val="40"/>
          <w:szCs w:val="40"/>
          <w:lang w:val="en-GB"/>
        </w:rPr>
        <w:t xml:space="preserve"> </w:t>
      </w:r>
      <w:bookmarkEnd w:id="21"/>
      <w:bookmarkEnd w:id="22"/>
      <w:bookmarkEnd w:id="23"/>
      <w:bookmarkEnd w:id="24"/>
    </w:p>
    <w:p w14:paraId="5732CF7A" w14:textId="77777777" w:rsidR="0004651B" w:rsidRPr="00204315" w:rsidRDefault="0004651B" w:rsidP="0004651B">
      <w:pPr>
        <w:spacing w:after="0" w:line="240" w:lineRule="auto"/>
        <w:jc w:val="center"/>
        <w:rPr>
          <w:rFonts w:ascii="Times New Roman" w:eastAsia="Times New Roman" w:hAnsi="Times New Roman" w:cs="Times New Roman"/>
          <w:b/>
          <w:sz w:val="36"/>
          <w:szCs w:val="36"/>
        </w:rPr>
      </w:pPr>
      <w:r w:rsidRPr="00204315">
        <w:rPr>
          <w:rFonts w:ascii="Times New Roman" w:eastAsia="Times New Roman" w:hAnsi="Times New Roman" w:cs="Times New Roman"/>
          <w:b/>
          <w:sz w:val="36"/>
          <w:szCs w:val="36"/>
        </w:rPr>
        <w:t>Demand Guarantee</w:t>
      </w:r>
    </w:p>
    <w:p w14:paraId="534E4E57" w14:textId="77777777" w:rsidR="0004651B" w:rsidRPr="00204315"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i/>
          <w:sz w:val="24"/>
          <w:szCs w:val="24"/>
        </w:rPr>
        <w:t xml:space="preserve">[Guarantor letterhead or SWIFT identifier code] </w:t>
      </w:r>
    </w:p>
    <w:p w14:paraId="7E204355" w14:textId="77777777" w:rsidR="0004651B" w:rsidRPr="00204315" w:rsidRDefault="0004651B" w:rsidP="0004651B">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Beneficiary:</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name and Address of Purchaser]</w:t>
      </w:r>
      <w:r w:rsidRPr="00204315">
        <w:rPr>
          <w:rFonts w:ascii="Times New Roman" w:eastAsia="Arial Unicode MS" w:hAnsi="Times New Roman" w:cs="Arial Unicode MS"/>
          <w:i/>
          <w:sz w:val="24"/>
          <w:szCs w:val="24"/>
        </w:rPr>
        <w:tab/>
      </w:r>
      <w:r w:rsidRPr="00204315">
        <w:rPr>
          <w:rFonts w:ascii="Times New Roman" w:eastAsia="Arial Unicode MS" w:hAnsi="Times New Roman" w:cs="Arial Unicode MS"/>
          <w:i/>
          <w:sz w:val="24"/>
          <w:szCs w:val="24"/>
        </w:rPr>
        <w:tab/>
      </w:r>
    </w:p>
    <w:p w14:paraId="36C40B04" w14:textId="77777777" w:rsidR="0004651B" w:rsidRPr="00204315" w:rsidRDefault="0004651B" w:rsidP="0004651B">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 xml:space="preserve">Date: </w:t>
      </w:r>
      <w:r w:rsidRPr="00204315">
        <w:rPr>
          <w:rFonts w:ascii="Times New Roman" w:eastAsia="Arial Unicode MS" w:hAnsi="Times New Roman" w:cs="Arial Unicode MS"/>
          <w:i/>
          <w:sz w:val="24"/>
          <w:szCs w:val="24"/>
        </w:rPr>
        <w:t>[Insert date of issue]</w:t>
      </w:r>
    </w:p>
    <w:p w14:paraId="19E76B1A" w14:textId="77777777" w:rsidR="0004651B" w:rsidRPr="00204315" w:rsidRDefault="0004651B" w:rsidP="0004651B">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Advance Payment Guarantee No.:</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guarantee reference number]</w:t>
      </w:r>
    </w:p>
    <w:p w14:paraId="5E048555" w14:textId="77777777" w:rsidR="0004651B" w:rsidRPr="00204315" w:rsidRDefault="0004651B" w:rsidP="0004651B">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 xml:space="preserve">Guarantor: </w:t>
      </w:r>
      <w:r w:rsidRPr="00204315">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204315" w:rsidRDefault="0004651B" w:rsidP="0004651B">
      <w:pPr>
        <w:spacing w:after="240" w:line="240" w:lineRule="auto"/>
        <w:rPr>
          <w:rFonts w:ascii="Times New Roman" w:eastAsia="Arial Unicode MS" w:hAnsi="Times New Roman" w:cs="Times New Roman"/>
          <w:sz w:val="24"/>
          <w:szCs w:val="24"/>
        </w:rPr>
      </w:pPr>
      <w:r w:rsidRPr="00204315">
        <w:rPr>
          <w:rFonts w:ascii="Times New Roman" w:eastAsia="Arial Unicode MS" w:hAnsi="Times New Roman" w:cs="Times New Roman"/>
          <w:b/>
          <w:sz w:val="24"/>
          <w:szCs w:val="24"/>
        </w:rPr>
        <w:t xml:space="preserve">Contract No.: </w:t>
      </w:r>
      <w:r w:rsidRPr="00204315">
        <w:rPr>
          <w:rFonts w:ascii="Times New Roman" w:eastAsia="Arial Unicode MS" w:hAnsi="Times New Roman" w:cs="Times New Roman"/>
          <w:i/>
          <w:sz w:val="24"/>
          <w:szCs w:val="24"/>
        </w:rPr>
        <w:t>[insert Purchaser’s reference for the specific Contract]</w:t>
      </w:r>
    </w:p>
    <w:p w14:paraId="242FFB9A"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We have been informed that </w:t>
      </w:r>
      <w:r w:rsidRPr="00204315">
        <w:rPr>
          <w:rFonts w:ascii="Times New Roman" w:eastAsia="Arial Unicode MS" w:hAnsi="Times New Roman" w:cs="Arial Unicode MS"/>
          <w:i/>
          <w:sz w:val="24"/>
          <w:szCs w:val="24"/>
        </w:rPr>
        <w:t>[insert name of Supplier, which in the case of a joint venture shall be the name of the joint venture]</w:t>
      </w:r>
      <w:r w:rsidRPr="00204315">
        <w:rPr>
          <w:rFonts w:ascii="Times New Roman" w:eastAsia="Arial Unicode MS" w:hAnsi="Times New Roman" w:cs="Arial Unicode MS"/>
          <w:sz w:val="24"/>
          <w:szCs w:val="24"/>
        </w:rPr>
        <w:t xml:space="preserve"> (hereinafter called “the Applicant”) has entered into a Contract No. </w:t>
      </w:r>
      <w:r w:rsidRPr="00204315">
        <w:rPr>
          <w:rFonts w:ascii="Times New Roman" w:eastAsia="Arial Unicode MS" w:hAnsi="Times New Roman" w:cs="Arial Unicode MS"/>
          <w:i/>
          <w:sz w:val="24"/>
          <w:szCs w:val="24"/>
        </w:rPr>
        <w:t xml:space="preserve">[insert reference number of the contract] </w:t>
      </w:r>
      <w:r w:rsidRPr="00204315">
        <w:rPr>
          <w:rFonts w:ascii="Times New Roman" w:eastAsia="Arial Unicode MS" w:hAnsi="Times New Roman" w:cs="Arial Unicode MS"/>
          <w:sz w:val="24"/>
          <w:szCs w:val="24"/>
        </w:rPr>
        <w:t xml:space="preserve">dated </w:t>
      </w:r>
      <w:r w:rsidRPr="00204315">
        <w:rPr>
          <w:rFonts w:ascii="Times New Roman" w:eastAsia="Arial Unicode MS" w:hAnsi="Times New Roman" w:cs="Arial Unicode MS"/>
          <w:i/>
          <w:sz w:val="24"/>
          <w:szCs w:val="24"/>
        </w:rPr>
        <w:t>[insert date]</w:t>
      </w:r>
      <w:r w:rsidRPr="00204315">
        <w:rPr>
          <w:rFonts w:ascii="Times New Roman" w:eastAsia="Arial Unicode MS" w:hAnsi="Times New Roman" w:cs="Arial Unicode MS"/>
          <w:sz w:val="24"/>
          <w:szCs w:val="24"/>
        </w:rPr>
        <w:t xml:space="preserve"> with the Beneficiary, for the execution of </w:t>
      </w:r>
      <w:r w:rsidRPr="00204315">
        <w:rPr>
          <w:rFonts w:ascii="Times New Roman" w:eastAsia="Arial Unicode MS" w:hAnsi="Times New Roman" w:cs="Arial Unicode MS"/>
          <w:i/>
          <w:sz w:val="24"/>
          <w:szCs w:val="24"/>
        </w:rPr>
        <w:t>[insert name of contract and brief description of Goods and Related Services]</w:t>
      </w:r>
      <w:r w:rsidRPr="00204315">
        <w:rPr>
          <w:rFonts w:ascii="Times New Roman" w:eastAsia="Arial Unicode MS" w:hAnsi="Times New Roman" w:cs="Arial Unicode MS"/>
          <w:sz w:val="24"/>
          <w:szCs w:val="24"/>
        </w:rPr>
        <w:t xml:space="preserve"> (hereinafter called "the Contract"). </w:t>
      </w:r>
    </w:p>
    <w:p w14:paraId="5FD40781"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Furthermore, we understand that, according to the conditions of the Contract, an advance payment in the sum </w:t>
      </w:r>
      <w:r w:rsidRPr="00204315">
        <w:rPr>
          <w:rFonts w:ascii="Times New Roman" w:eastAsia="Arial Unicode MS" w:hAnsi="Times New Roman" w:cs="Arial Unicode MS"/>
          <w:i/>
          <w:sz w:val="24"/>
          <w:szCs w:val="24"/>
        </w:rPr>
        <w:t xml:space="preserve">[insert amount in figures] </w:t>
      </w:r>
      <w:r w:rsidRPr="00204315">
        <w:rPr>
          <w:rFonts w:ascii="Times New Roman" w:eastAsia="Arial Unicode MS" w:hAnsi="Times New Roman" w:cs="Arial Unicode MS"/>
          <w:sz w:val="24"/>
          <w:szCs w:val="24"/>
        </w:rPr>
        <w:t>()</w:t>
      </w:r>
      <w:r w:rsidRPr="00204315">
        <w:rPr>
          <w:rFonts w:ascii="Times New Roman" w:eastAsia="Arial Unicode MS" w:hAnsi="Times New Roman" w:cs="Arial Unicode MS"/>
          <w:i/>
          <w:sz w:val="24"/>
          <w:szCs w:val="24"/>
        </w:rPr>
        <w:t xml:space="preserve"> [insert amount in words]</w:t>
      </w:r>
      <w:r w:rsidRPr="00204315">
        <w:rPr>
          <w:rFonts w:ascii="Times New Roman" w:eastAsia="Arial Unicode MS" w:hAnsi="Times New Roman" w:cs="Arial Unicode MS"/>
          <w:sz w:val="24"/>
          <w:szCs w:val="24"/>
        </w:rPr>
        <w:t xml:space="preserve"> is to be made against an advance payment guarantee.</w:t>
      </w:r>
    </w:p>
    <w:p w14:paraId="6430C16B"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204315">
        <w:rPr>
          <w:rFonts w:ascii="Times New Roman" w:eastAsia="Arial Unicode MS" w:hAnsi="Times New Roman" w:cs="Arial Unicode MS"/>
          <w:i/>
          <w:sz w:val="24"/>
          <w:szCs w:val="24"/>
        </w:rPr>
        <w:t>[insert amount in figures] [insert amount in words]</w:t>
      </w:r>
      <w:r w:rsidRPr="00204315">
        <w:rPr>
          <w:rFonts w:ascii="Times New Roman" w:eastAsia="Arial Unicode MS" w:hAnsi="Times New Roman" w:cs="Arial Unicode MS"/>
          <w:i/>
          <w:sz w:val="24"/>
          <w:szCs w:val="24"/>
          <w:vertAlign w:val="superscript"/>
        </w:rPr>
        <w:footnoteReference w:customMarkFollows="1" w:id="5"/>
        <w:t>1</w:t>
      </w:r>
      <w:r w:rsidRPr="00204315">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204315"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204315"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204315">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204315">
        <w:rPr>
          <w:rFonts w:ascii="Times New Roman" w:eastAsia="Arial Unicode MS" w:hAnsi="Times New Roman" w:cs="Times New Roman"/>
          <w:i/>
          <w:sz w:val="24"/>
          <w:szCs w:val="24"/>
        </w:rPr>
        <w:t>[insert number]</w:t>
      </w:r>
      <w:r w:rsidRPr="00204315">
        <w:rPr>
          <w:rFonts w:ascii="Times New Roman" w:eastAsia="Arial Unicode MS" w:hAnsi="Times New Roman" w:cs="Times New Roman"/>
          <w:sz w:val="24"/>
          <w:szCs w:val="24"/>
        </w:rPr>
        <w:t xml:space="preserve"> at </w:t>
      </w:r>
      <w:r w:rsidRPr="00204315">
        <w:rPr>
          <w:rFonts w:ascii="Times New Roman" w:eastAsia="Arial Unicode MS" w:hAnsi="Times New Roman" w:cs="Times New Roman"/>
          <w:i/>
          <w:sz w:val="24"/>
          <w:szCs w:val="24"/>
        </w:rPr>
        <w:t>[insert name and address of Applicant’s bank]</w:t>
      </w:r>
      <w:r w:rsidRPr="00204315">
        <w:rPr>
          <w:rFonts w:ascii="Times New Roman" w:eastAsia="Arial Unicode MS" w:hAnsi="Times New Roman" w:cs="Times New Roman"/>
          <w:sz w:val="24"/>
          <w:szCs w:val="24"/>
        </w:rPr>
        <w:t>.</w:t>
      </w:r>
    </w:p>
    <w:p w14:paraId="2209FDA9" w14:textId="71B91F0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 </w:t>
      </w:r>
      <w:r w:rsidR="000A6669" w:rsidRPr="00F2086F">
        <w:rPr>
          <w:rFonts w:ascii="Times New Roman" w:eastAsia="Arial Unicode MS" w:hAnsi="Times New Roman" w:cs="Arial Unicode MS"/>
          <w:sz w:val="24"/>
          <w:szCs w:val="24"/>
        </w:rPr>
        <w:t>This guarantee shall expire, at the latest, upon our receipt of a copy of</w:t>
      </w:r>
      <w:r w:rsidR="000A6669">
        <w:rPr>
          <w:rFonts w:ascii="Times New Roman" w:eastAsia="Arial Unicode MS" w:hAnsi="Times New Roman" w:cs="Arial Unicode MS"/>
          <w:sz w:val="24"/>
          <w:szCs w:val="24"/>
        </w:rPr>
        <w:t xml:space="preserve"> the </w:t>
      </w:r>
      <w:r w:rsidR="000A6669" w:rsidRPr="00F2086F">
        <w:rPr>
          <w:rFonts w:ascii="Times New Roman" w:eastAsia="Arial Unicode MS" w:hAnsi="Times New Roman" w:cs="Arial Unicode MS"/>
          <w:sz w:val="24"/>
          <w:szCs w:val="24"/>
        </w:rPr>
        <w:t xml:space="preserve">payment certificate indicating that ninety (90) percent of the Contract </w:t>
      </w:r>
      <w:r w:rsidR="000A6669">
        <w:rPr>
          <w:rFonts w:ascii="Times New Roman" w:eastAsia="Arial Unicode MS" w:hAnsi="Times New Roman" w:cs="Arial Unicode MS"/>
          <w:sz w:val="24"/>
          <w:szCs w:val="24"/>
        </w:rPr>
        <w:t>Price</w:t>
      </w:r>
      <w:r w:rsidR="00CB613E">
        <w:rPr>
          <w:rFonts w:ascii="Times New Roman" w:eastAsia="Arial Unicode MS" w:hAnsi="Times New Roman" w:cs="Arial Unicode MS"/>
          <w:sz w:val="24"/>
          <w:szCs w:val="24"/>
        </w:rPr>
        <w:t xml:space="preserve"> </w:t>
      </w:r>
      <w:r w:rsidR="000A6669" w:rsidRPr="00F2086F">
        <w:rPr>
          <w:rFonts w:ascii="Times New Roman" w:eastAsia="Arial Unicode MS" w:hAnsi="Times New Roman" w:cs="Arial Unicode MS"/>
          <w:sz w:val="24"/>
          <w:szCs w:val="24"/>
        </w:rPr>
        <w:t xml:space="preserve">has been certified for payment, or on the </w:t>
      </w:r>
      <w:r w:rsidR="000A6669" w:rsidRPr="00F2086F">
        <w:rPr>
          <w:rFonts w:ascii="Times New Roman" w:eastAsia="Arial Unicode MS" w:hAnsi="Times New Roman" w:cs="Arial Unicode MS"/>
          <w:i/>
          <w:sz w:val="24"/>
          <w:szCs w:val="24"/>
        </w:rPr>
        <w:lastRenderedPageBreak/>
        <w:t>[insert day]</w:t>
      </w:r>
      <w:r w:rsidR="000A6669" w:rsidRPr="00F2086F">
        <w:rPr>
          <w:rFonts w:ascii="Times New Roman" w:eastAsia="Arial Unicode MS" w:hAnsi="Times New Roman" w:cs="Arial Unicode MS"/>
          <w:sz w:val="24"/>
          <w:szCs w:val="24"/>
        </w:rPr>
        <w:t xml:space="preserve"> day of </w:t>
      </w:r>
      <w:r w:rsidR="000A6669" w:rsidRPr="00F2086F">
        <w:rPr>
          <w:rFonts w:ascii="Times New Roman" w:eastAsia="Arial Unicode MS" w:hAnsi="Times New Roman" w:cs="Arial Unicode MS"/>
          <w:i/>
          <w:sz w:val="24"/>
          <w:szCs w:val="24"/>
        </w:rPr>
        <w:t>[insert month]</w:t>
      </w:r>
      <w:r w:rsidR="000A6669" w:rsidRPr="00F2086F">
        <w:rPr>
          <w:rFonts w:ascii="Times New Roman" w:eastAsia="Arial Unicode MS" w:hAnsi="Times New Roman" w:cs="Arial Unicode MS"/>
          <w:sz w:val="24"/>
          <w:szCs w:val="24"/>
        </w:rPr>
        <w:t xml:space="preserve">, 2 </w:t>
      </w:r>
      <w:r w:rsidR="000A6669" w:rsidRPr="00F2086F">
        <w:rPr>
          <w:rFonts w:ascii="Times New Roman" w:eastAsia="Arial Unicode MS" w:hAnsi="Times New Roman" w:cs="Arial Unicode MS"/>
          <w:i/>
          <w:sz w:val="24"/>
          <w:szCs w:val="24"/>
        </w:rPr>
        <w:t>[insert year]</w:t>
      </w:r>
      <w:r w:rsidR="000A6669" w:rsidRPr="00F2086F">
        <w:rPr>
          <w:rFonts w:ascii="Times New Roman" w:eastAsia="Arial Unicode MS" w:hAnsi="Times New Roman" w:cs="Arial Unicode MS"/>
          <w:sz w:val="24"/>
          <w:szCs w:val="24"/>
        </w:rPr>
        <w:t>, whichever is earlier.</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Consequently, any demand for payment under this</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guarantee must be received by us at this office on or before that date</w:t>
      </w:r>
      <w:r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AF31D" w14:textId="77777777" w:rsidR="00D24BF8" w:rsidRDefault="00D24BF8" w:rsidP="0004651B">
      <w:pPr>
        <w:spacing w:after="0" w:line="240" w:lineRule="auto"/>
      </w:pPr>
      <w:r>
        <w:separator/>
      </w:r>
    </w:p>
  </w:endnote>
  <w:endnote w:type="continuationSeparator" w:id="0">
    <w:p w14:paraId="1D9B9245" w14:textId="77777777" w:rsidR="00D24BF8" w:rsidRDefault="00D24BF8"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B2B4E" w14:textId="77777777" w:rsidR="00D24BF8" w:rsidRDefault="00D24BF8" w:rsidP="0004651B">
      <w:pPr>
        <w:spacing w:after="0" w:line="240" w:lineRule="auto"/>
      </w:pPr>
      <w:r>
        <w:separator/>
      </w:r>
    </w:p>
  </w:footnote>
  <w:footnote w:type="continuationSeparator" w:id="0">
    <w:p w14:paraId="7C873D39" w14:textId="77777777" w:rsidR="00D24BF8" w:rsidRDefault="00D24BF8" w:rsidP="0004651B">
      <w:pPr>
        <w:spacing w:after="0" w:line="240" w:lineRule="auto"/>
      </w:pPr>
      <w:r>
        <w:continuationSeparator/>
      </w:r>
    </w:p>
  </w:footnote>
  <w:footnote w:id="1">
    <w:p w14:paraId="333B0F0A" w14:textId="13B0D117" w:rsidR="00D24BF8" w:rsidRPr="001341F3" w:rsidRDefault="00D24BF8"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D24BF8" w:rsidRDefault="00D24BF8">
      <w:pPr>
        <w:pStyle w:val="FootnoteText"/>
      </w:pPr>
    </w:p>
  </w:footnote>
  <w:footnote w:id="2">
    <w:p w14:paraId="572108A3" w14:textId="77777777" w:rsidR="00D24BF8" w:rsidRPr="00F23660" w:rsidRDefault="00D24BF8" w:rsidP="00BC63E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295534FA" w14:textId="77777777" w:rsidR="00D24BF8" w:rsidRDefault="00D24BF8" w:rsidP="00BC63E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4DE138B" w14:textId="77777777" w:rsidR="00D24BF8" w:rsidRDefault="00D24BF8" w:rsidP="00BC63E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068639C4" w14:textId="77777777" w:rsidR="00D24BF8" w:rsidRPr="00BC09A2" w:rsidRDefault="00D24BF8"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D24BF8" w:rsidRDefault="00D24BF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D24BF8" w:rsidRDefault="00D24B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D24BF8" w:rsidRDefault="00D24BF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55CA" w14:textId="77777777" w:rsidR="00D24BF8" w:rsidRDefault="00D24BF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D24BF8" w:rsidRDefault="00D24B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F2D1" w14:textId="77777777" w:rsidR="00D24BF8" w:rsidRDefault="00D24BF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61B01A1"/>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7C5D12"/>
    <w:multiLevelType w:val="hybridMultilevel"/>
    <w:tmpl w:val="CFD80D32"/>
    <w:lvl w:ilvl="0" w:tplc="EB56F69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3"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6"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331"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EA87254"/>
    <w:multiLevelType w:val="multilevel"/>
    <w:tmpl w:val="EB6E6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1"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7"/>
  </w:num>
  <w:num w:numId="2">
    <w:abstractNumId w:val="29"/>
  </w:num>
  <w:num w:numId="3">
    <w:abstractNumId w:val="2"/>
  </w:num>
  <w:num w:numId="4">
    <w:abstractNumId w:val="8"/>
  </w:num>
  <w:num w:numId="5">
    <w:abstractNumId w:val="27"/>
  </w:num>
  <w:num w:numId="6">
    <w:abstractNumId w:val="31"/>
  </w:num>
  <w:num w:numId="7">
    <w:abstractNumId w:val="30"/>
  </w:num>
  <w:num w:numId="8">
    <w:abstractNumId w:val="17"/>
  </w:num>
  <w:num w:numId="9">
    <w:abstractNumId w:val="35"/>
  </w:num>
  <w:num w:numId="10">
    <w:abstractNumId w:val="42"/>
  </w:num>
  <w:num w:numId="11">
    <w:abstractNumId w:val="9"/>
  </w:num>
  <w:num w:numId="12">
    <w:abstractNumId w:val="32"/>
  </w:num>
  <w:num w:numId="13">
    <w:abstractNumId w:val="11"/>
  </w:num>
  <w:num w:numId="14">
    <w:abstractNumId w:val="4"/>
  </w:num>
  <w:num w:numId="15">
    <w:abstractNumId w:val="22"/>
  </w:num>
  <w:num w:numId="16">
    <w:abstractNumId w:val="5"/>
  </w:num>
  <w:num w:numId="17">
    <w:abstractNumId w:val="23"/>
  </w:num>
  <w:num w:numId="18">
    <w:abstractNumId w:val="7"/>
  </w:num>
  <w:num w:numId="19">
    <w:abstractNumId w:val="0"/>
  </w:num>
  <w:num w:numId="20">
    <w:abstractNumId w:val="40"/>
  </w:num>
  <w:num w:numId="21">
    <w:abstractNumId w:val="18"/>
  </w:num>
  <w:num w:numId="22">
    <w:abstractNumId w:val="3"/>
  </w:num>
  <w:num w:numId="23">
    <w:abstractNumId w:val="41"/>
  </w:num>
  <w:num w:numId="24">
    <w:abstractNumId w:val="25"/>
  </w:num>
  <w:num w:numId="25">
    <w:abstractNumId w:val="13"/>
  </w:num>
  <w:num w:numId="26">
    <w:abstractNumId w:val="38"/>
  </w:num>
  <w:num w:numId="27">
    <w:abstractNumId w:val="12"/>
  </w:num>
  <w:num w:numId="28">
    <w:abstractNumId w:val="34"/>
  </w:num>
  <w:num w:numId="29">
    <w:abstractNumId w:val="21"/>
  </w:num>
  <w:num w:numId="30">
    <w:abstractNumId w:val="1"/>
  </w:num>
  <w:num w:numId="31">
    <w:abstractNumId w:val="28"/>
  </w:num>
  <w:num w:numId="32">
    <w:abstractNumId w:val="15"/>
  </w:num>
  <w:num w:numId="33">
    <w:abstractNumId w:val="39"/>
  </w:num>
  <w:num w:numId="34">
    <w:abstractNumId w:val="16"/>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3"/>
  </w:num>
  <w:num w:numId="40">
    <w:abstractNumId w:val="10"/>
  </w:num>
  <w:num w:numId="41">
    <w:abstractNumId w:val="26"/>
  </w:num>
  <w:num w:numId="42">
    <w:abstractNumId w:val="19"/>
  </w:num>
  <w:num w:numId="43">
    <w:abstractNumId w:val="6"/>
  </w:num>
  <w:num w:numId="44">
    <w:abstractNumId w:val="20"/>
  </w:num>
  <w:num w:numId="45">
    <w:abstractNumId w:val="36"/>
  </w:num>
  <w:num w:numId="46">
    <w:abstractNumId w:val="4"/>
  </w:num>
  <w:num w:numId="47">
    <w:abstractNumId w:val="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164BD"/>
    <w:rsid w:val="00026338"/>
    <w:rsid w:val="00035B6B"/>
    <w:rsid w:val="00036597"/>
    <w:rsid w:val="0004651B"/>
    <w:rsid w:val="00052CA8"/>
    <w:rsid w:val="00052FB1"/>
    <w:rsid w:val="000813C8"/>
    <w:rsid w:val="00085584"/>
    <w:rsid w:val="00085769"/>
    <w:rsid w:val="000A6669"/>
    <w:rsid w:val="000B0081"/>
    <w:rsid w:val="000B1195"/>
    <w:rsid w:val="000D3339"/>
    <w:rsid w:val="000E0A4B"/>
    <w:rsid w:val="000E0CE1"/>
    <w:rsid w:val="000F3986"/>
    <w:rsid w:val="000F7A86"/>
    <w:rsid w:val="00101053"/>
    <w:rsid w:val="00113C7A"/>
    <w:rsid w:val="00115027"/>
    <w:rsid w:val="00115541"/>
    <w:rsid w:val="00124C87"/>
    <w:rsid w:val="001259F1"/>
    <w:rsid w:val="001341F3"/>
    <w:rsid w:val="00161BB1"/>
    <w:rsid w:val="00181021"/>
    <w:rsid w:val="00185D0D"/>
    <w:rsid w:val="001B7A27"/>
    <w:rsid w:val="001E419A"/>
    <w:rsid w:val="00204315"/>
    <w:rsid w:val="002043CA"/>
    <w:rsid w:val="002075F5"/>
    <w:rsid w:val="00254BE9"/>
    <w:rsid w:val="0029144D"/>
    <w:rsid w:val="00294525"/>
    <w:rsid w:val="002A57ED"/>
    <w:rsid w:val="002B1B3E"/>
    <w:rsid w:val="002D07C3"/>
    <w:rsid w:val="002D36A5"/>
    <w:rsid w:val="002E09A5"/>
    <w:rsid w:val="002E2367"/>
    <w:rsid w:val="003145E5"/>
    <w:rsid w:val="00322817"/>
    <w:rsid w:val="00325DDB"/>
    <w:rsid w:val="0033286E"/>
    <w:rsid w:val="00336AB4"/>
    <w:rsid w:val="003449D8"/>
    <w:rsid w:val="00350B32"/>
    <w:rsid w:val="00371F3E"/>
    <w:rsid w:val="00375EB9"/>
    <w:rsid w:val="00383472"/>
    <w:rsid w:val="00387FEE"/>
    <w:rsid w:val="003C08AA"/>
    <w:rsid w:val="003D0D17"/>
    <w:rsid w:val="003D36FC"/>
    <w:rsid w:val="003D42A1"/>
    <w:rsid w:val="003D6700"/>
    <w:rsid w:val="003E3C29"/>
    <w:rsid w:val="00403EBE"/>
    <w:rsid w:val="004127A5"/>
    <w:rsid w:val="004177CF"/>
    <w:rsid w:val="00424CA8"/>
    <w:rsid w:val="00465101"/>
    <w:rsid w:val="00473349"/>
    <w:rsid w:val="004926B7"/>
    <w:rsid w:val="004A1C15"/>
    <w:rsid w:val="004F66CC"/>
    <w:rsid w:val="0050058C"/>
    <w:rsid w:val="00533757"/>
    <w:rsid w:val="0054725E"/>
    <w:rsid w:val="0054745A"/>
    <w:rsid w:val="0055787A"/>
    <w:rsid w:val="0057169F"/>
    <w:rsid w:val="00574144"/>
    <w:rsid w:val="0059189D"/>
    <w:rsid w:val="005A15E1"/>
    <w:rsid w:val="005B2ED4"/>
    <w:rsid w:val="005C137C"/>
    <w:rsid w:val="005D0CA2"/>
    <w:rsid w:val="005E17B3"/>
    <w:rsid w:val="005F43B1"/>
    <w:rsid w:val="00610489"/>
    <w:rsid w:val="00642310"/>
    <w:rsid w:val="006557C2"/>
    <w:rsid w:val="006677BA"/>
    <w:rsid w:val="0068083C"/>
    <w:rsid w:val="00681262"/>
    <w:rsid w:val="00690A32"/>
    <w:rsid w:val="00692E46"/>
    <w:rsid w:val="00696964"/>
    <w:rsid w:val="006A3CB3"/>
    <w:rsid w:val="006C12E5"/>
    <w:rsid w:val="006E0FC3"/>
    <w:rsid w:val="006F0749"/>
    <w:rsid w:val="006F0AC5"/>
    <w:rsid w:val="006F3DF4"/>
    <w:rsid w:val="00706B4D"/>
    <w:rsid w:val="00713336"/>
    <w:rsid w:val="007148FA"/>
    <w:rsid w:val="00744B6E"/>
    <w:rsid w:val="00752AC1"/>
    <w:rsid w:val="00765C94"/>
    <w:rsid w:val="00791241"/>
    <w:rsid w:val="00791F3F"/>
    <w:rsid w:val="00793FFB"/>
    <w:rsid w:val="007A0123"/>
    <w:rsid w:val="007A0A85"/>
    <w:rsid w:val="007D4F44"/>
    <w:rsid w:val="007D52A0"/>
    <w:rsid w:val="007E34AA"/>
    <w:rsid w:val="00816B66"/>
    <w:rsid w:val="008250E5"/>
    <w:rsid w:val="0083532D"/>
    <w:rsid w:val="00860746"/>
    <w:rsid w:val="00863987"/>
    <w:rsid w:val="00864FA1"/>
    <w:rsid w:val="0086592C"/>
    <w:rsid w:val="008667AD"/>
    <w:rsid w:val="00874AA4"/>
    <w:rsid w:val="008A307E"/>
    <w:rsid w:val="008A6A6B"/>
    <w:rsid w:val="008B0E0D"/>
    <w:rsid w:val="008B7751"/>
    <w:rsid w:val="008C3E71"/>
    <w:rsid w:val="008D08AB"/>
    <w:rsid w:val="008D20C0"/>
    <w:rsid w:val="008D50BC"/>
    <w:rsid w:val="00904490"/>
    <w:rsid w:val="00905AE3"/>
    <w:rsid w:val="0093359F"/>
    <w:rsid w:val="00933B6C"/>
    <w:rsid w:val="00956971"/>
    <w:rsid w:val="00975BB6"/>
    <w:rsid w:val="0098699E"/>
    <w:rsid w:val="0099024D"/>
    <w:rsid w:val="0099156F"/>
    <w:rsid w:val="009A4B7B"/>
    <w:rsid w:val="009B1616"/>
    <w:rsid w:val="009B38B1"/>
    <w:rsid w:val="009C2793"/>
    <w:rsid w:val="009D2558"/>
    <w:rsid w:val="00A2186D"/>
    <w:rsid w:val="00A21A79"/>
    <w:rsid w:val="00A25479"/>
    <w:rsid w:val="00A3200D"/>
    <w:rsid w:val="00A40E21"/>
    <w:rsid w:val="00A61D3B"/>
    <w:rsid w:val="00A80A1A"/>
    <w:rsid w:val="00A9529E"/>
    <w:rsid w:val="00AB4958"/>
    <w:rsid w:val="00AB52FC"/>
    <w:rsid w:val="00AE2988"/>
    <w:rsid w:val="00AE5EC4"/>
    <w:rsid w:val="00AE6FF1"/>
    <w:rsid w:val="00B10A74"/>
    <w:rsid w:val="00B15EFA"/>
    <w:rsid w:val="00B21418"/>
    <w:rsid w:val="00B21B06"/>
    <w:rsid w:val="00B2229F"/>
    <w:rsid w:val="00B355CC"/>
    <w:rsid w:val="00B37143"/>
    <w:rsid w:val="00B54F95"/>
    <w:rsid w:val="00B85A21"/>
    <w:rsid w:val="00B97BDF"/>
    <w:rsid w:val="00B97DF8"/>
    <w:rsid w:val="00BC63EA"/>
    <w:rsid w:val="00BF66E4"/>
    <w:rsid w:val="00C0026F"/>
    <w:rsid w:val="00C00F72"/>
    <w:rsid w:val="00C03BD0"/>
    <w:rsid w:val="00C411E6"/>
    <w:rsid w:val="00C43EAA"/>
    <w:rsid w:val="00C44370"/>
    <w:rsid w:val="00C6523C"/>
    <w:rsid w:val="00C66B59"/>
    <w:rsid w:val="00C73960"/>
    <w:rsid w:val="00CA0CC0"/>
    <w:rsid w:val="00CB613E"/>
    <w:rsid w:val="00CB676F"/>
    <w:rsid w:val="00CD4D3B"/>
    <w:rsid w:val="00CE0DEF"/>
    <w:rsid w:val="00CE241B"/>
    <w:rsid w:val="00D028E0"/>
    <w:rsid w:val="00D06659"/>
    <w:rsid w:val="00D11095"/>
    <w:rsid w:val="00D131C0"/>
    <w:rsid w:val="00D15632"/>
    <w:rsid w:val="00D24BF8"/>
    <w:rsid w:val="00D30458"/>
    <w:rsid w:val="00D32D39"/>
    <w:rsid w:val="00D45842"/>
    <w:rsid w:val="00D73197"/>
    <w:rsid w:val="00D7798D"/>
    <w:rsid w:val="00D807FA"/>
    <w:rsid w:val="00D81A2E"/>
    <w:rsid w:val="00D91A52"/>
    <w:rsid w:val="00D9319B"/>
    <w:rsid w:val="00DF04A0"/>
    <w:rsid w:val="00E1320C"/>
    <w:rsid w:val="00E41EC3"/>
    <w:rsid w:val="00E5293E"/>
    <w:rsid w:val="00E57DE9"/>
    <w:rsid w:val="00E65CDA"/>
    <w:rsid w:val="00E6706C"/>
    <w:rsid w:val="00E7003D"/>
    <w:rsid w:val="00E77353"/>
    <w:rsid w:val="00EB78BA"/>
    <w:rsid w:val="00EC21DC"/>
    <w:rsid w:val="00ED1F31"/>
    <w:rsid w:val="00ED2875"/>
    <w:rsid w:val="00EF2D6A"/>
    <w:rsid w:val="00F020B4"/>
    <w:rsid w:val="00F03A92"/>
    <w:rsid w:val="00F1559A"/>
    <w:rsid w:val="00F51F77"/>
    <w:rsid w:val="00F6270F"/>
    <w:rsid w:val="00F713BA"/>
    <w:rsid w:val="00FA1686"/>
    <w:rsid w:val="00FB45B2"/>
    <w:rsid w:val="00FB58E1"/>
    <w:rsid w:val="00FB7513"/>
    <w:rsid w:val="00FC124D"/>
    <w:rsid w:val="00FC5177"/>
    <w:rsid w:val="00FC6191"/>
    <w:rsid w:val="00FF1AD3"/>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7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purl.org/dc/dcmitype/"/>
    <ds:schemaRef ds:uri="http://www.w3.org/XML/1998/namespace"/>
    <ds:schemaRef ds:uri="eda4fd43-f936-4ced-9b4a-46c1ef7d5473"/>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aa3449fd-d373-417f-9c8d-cf261ce8b785"/>
    <ds:schemaRef ds:uri="http://purl.org/dc/terms/"/>
    <ds:schemaRef ds:uri="http://purl.org/dc/elements/1.1/"/>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4EF4E425-A7E4-41A0-9DB1-4F5F4E57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2020-05-20T14:53:00Z</dcterms:created>
  <dcterms:modified xsi:type="dcterms:W3CDTF">2020-05-20T14:53:00Z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